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Sugar Evidence: Read the Label</w:t>
      </w:r>
    </w:p>
    <w:p>
      <w:pPr>
        <w:pStyle w:val="Subtitle"/>
      </w:pPr>
      <w:r>
        <w:t>BUILD · Science · 40 minutes</w:t>
      </w:r>
    </w:p>
    <w:p>
      <w:r>
        <w:t>I can compare sugar values using the same label basis and order four supplied food labels from least to most sugar.</w:t>
      </w:r>
    </w:p>
    <w:p>
      <w:pPr>
        <w:pStyle w:val="Heading1"/>
      </w:pPr>
      <w:r>
        <w:t>Prepare before pupils arrive</w:t>
      </w:r>
    </w:p>
    <w:p>
      <w:r>
        <w:t>Setup: Prepare fictional or copied label cards with sugar in g per 100 g. Check every number and keep packet branding secondary. Put the number line and large-print parity route out before pupils arrive.</w:t>
      </w:r>
    </w:p>
    <w:p>
      <w:r>
        <w:t>Safety: No tasting or opening. Use clean packaging only, protect allergy information and avoid personal or moral judgements about food, bodies, weight or home choices.</w:t>
      </w:r>
    </w:p>
    <w:p>
      <w:r>
        <w:t>Equipment: Four fictional or photocopied nutrition-label cards on the same per-100 g basis; number line; results strip; pencil; optional clean empty packets as visual references.</w:t>
      </w:r>
    </w:p>
    <w:p>
      <w:r>
        <w:t>Safety: Nothing is eaten, opened or offered as a reward. Use clean empty packages or cards only. Check allergy and safeguarding arrangements even though there is no tasting; keep discussion about labels, not pupils' bodies or food choices.</w:t>
      </w:r>
    </w:p>
    <w:p>
      <w:r>
        <w:t>Fallback: Use large-print cards, symbols and a floor number line. A pupil may point or direct an adult to place each value; exact adult scribing is valid.</w:t>
      </w:r>
    </w:p>
    <w:p>
      <w:pPr>
        <w:pStyle w:val="Heading2"/>
      </w:pPr>
      <w:r>
        <w:t>Access and participation</w:t>
      </w:r>
    </w:p>
    <w:p>
      <w:r>
        <w:t>Offer reading aloud, pointing, signing, quiet thinking, a no-touch route and exact scribing where these support the learner. Keep the same subject decision. In shared work, let each learner commit before feedback; use a partner as card mover or checker, then swap. Avoid public speed rankings.</w:t>
      </w:r>
    </w:p>
    <w:p>
      <w:r>
        <w:t>Source lesson curriculum link: Sugar investigation and Autumn 1 consolidation: skeletons, muscles and nutrition.</w:t>
      </w:r>
    </w:p>
    <w:p>
      <w:pPr>
        <w:pStyle w:val="Heading1"/>
      </w:pPr>
      <w:r>
        <w:t>40-minute teaching sequence</w:t>
      </w:r>
    </w:p>
    <w:tbl>
      <w:tblPr>
        <w:tblW w:type="dxa" w:w="9865"/>
        <w:jc w:val="center"/>
        <w:tblLayout w:type="fixed"/>
        <w:tblLook w:firstColumn="1" w:firstRow="1" w:lastColumn="0" w:lastRow="0" w:noHBand="0" w:noVBand="1" w:val="04A0"/>
        <w:tblInd w:w="0" w:type="dxa"/>
        <w:tblCellMar>
          <w:top w:w="90" w:type="dxa"/>
          <w:left w:w="90" w:type="dxa"/>
          <w:bottom w:w="90" w:type="dxa"/>
          <w:right w:w="90" w:type="dxa"/>
        </w:tblCellMar>
      </w:tblPr>
      <w:tblGrid>
        <w:gridCol w:w="3288"/>
        <w:gridCol w:w="3288"/>
        <w:gridCol w:w="3288"/>
      </w:tblGrid>
      <w:tr>
        <w:trPr>
          <w:cantSplit/>
          <w:tblHeader/>
        </w:trPr>
        <w:tc>
          <w:tcPr>
            <w:tcW w:type="dxa" w:w="3288"/>
            <w:vAlign w:val="top"/>
            <w:shd w:fill="4E7A9B"/>
          </w:tcPr>
          <w:p>
            <w:pPr>
              <w:spacing w:after="60" w:line="269" w:lineRule="auto"/>
            </w:pPr>
            <w:r>
              <w:rPr>
                <w:rFonts w:ascii="Arial" w:hAnsi="Arial"/>
                <w:b/>
                <w:color w:val="FFFFFF"/>
                <w:sz w:val="20"/>
              </w:rPr>
              <w:t>Stage / total time</w:t>
            </w:r>
          </w:p>
        </w:tc>
        <w:tc>
          <w:tcPr>
            <w:tcW w:type="dxa" w:w="3288"/>
            <w:vAlign w:val="top"/>
            <w:shd w:fill="4E7A9B"/>
          </w:tcPr>
          <w:p>
            <w:pPr>
              <w:spacing w:after="60" w:line="269" w:lineRule="auto"/>
            </w:pPr>
            <w:r>
              <w:rPr>
                <w:rFonts w:ascii="Arial" w:hAnsi="Arial"/>
                <w:b/>
                <w:color w:val="FFFFFF"/>
                <w:sz w:val="20"/>
              </w:rPr>
              <w:t>Teaching move</w:t>
            </w:r>
          </w:p>
        </w:tc>
        <w:tc>
          <w:tcPr>
            <w:tcW w:type="dxa" w:w="3288"/>
            <w:vAlign w:val="top"/>
            <w:shd w:fill="4E7A9B"/>
          </w:tcPr>
          <w:p>
            <w:pPr>
              <w:spacing w:after="60" w:line="269" w:lineRule="auto"/>
            </w:pPr>
            <w:r>
              <w:rPr>
                <w:rFonts w:ascii="Arial" w:hAnsi="Arial"/>
                <w:b/>
                <w:color w:val="FFFFFF"/>
                <w:sz w:val="20"/>
              </w:rPr>
              <w:t>Adult support / response</w:t>
            </w:r>
          </w:p>
        </w:tc>
      </w:tr>
      <w:tr>
        <w:trPr>
          <w:cantSplit/>
        </w:trPr>
        <w:tc>
          <w:tcPr>
            <w:tcW w:type="dxa" w:w="3288"/>
            <w:vAlign w:val="top"/>
            <w:shd w:fill="FFFFFF"/>
          </w:tcPr>
          <w:p>
            <w:pPr>
              <w:spacing w:after="60" w:line="269" w:lineRule="auto"/>
            </w:pPr>
            <w:r>
              <w:rPr>
                <w:rFonts w:ascii="Arial" w:hAnsi="Arial"/>
                <w:b w:val="0"/>
                <w:color w:val="18233F"/>
                <w:sz w:val="20"/>
              </w:rPr>
              <w:t>Arrival · 4 min</w:t>
            </w:r>
          </w:p>
        </w:tc>
        <w:tc>
          <w:tcPr>
            <w:tcW w:type="dxa" w:w="3288"/>
            <w:vAlign w:val="top"/>
            <w:shd w:fill="FFFFFF"/>
          </w:tcPr>
          <w:p>
            <w:pPr>
              <w:spacing w:after="60" w:line="269" w:lineRule="auto"/>
            </w:pPr>
            <w:r>
              <w:rPr>
                <w:rFonts w:ascii="Arial" w:hAnsi="Arial"/>
                <w:b w:val="0"/>
                <w:color w:val="18233F"/>
                <w:sz w:val="20"/>
              </w:rPr>
              <w:t>Explain what the arrow means in plant → caterpillar → bird. Name two different jobs supported by nutrients.</w:t>
            </w:r>
          </w:p>
        </w:tc>
        <w:tc>
          <w:tcPr>
            <w:tcW w:type="dxa" w:w="3288"/>
            <w:vAlign w:val="top"/>
            <w:shd w:fill="FFFFFF"/>
          </w:tcPr>
          <w:p>
            <w:pPr>
              <w:spacing w:after="60" w:line="269" w:lineRule="auto"/>
            </w:pPr>
            <w:r>
              <w:rPr>
                <w:rFonts w:ascii="Arial" w:hAnsi="Arial"/>
                <w:b w:val="0"/>
                <w:color w:val="18233F"/>
                <w:sz w:val="20"/>
              </w:rPr>
              <w:t>Wait, regulate and retrieve through the lightest workable route. If recall is inaccessible, point to one retrieval sentence; do not teach today’s answer.</w:t>
            </w:r>
          </w:p>
        </w:tc>
      </w:tr>
      <w:tr>
        <w:trPr>
          <w:cantSplit/>
        </w:trPr>
        <w:tc>
          <w:tcPr>
            <w:tcW w:type="dxa" w:w="3288"/>
            <w:vAlign w:val="top"/>
            <w:shd w:fill="F1F5F6"/>
          </w:tcPr>
          <w:p>
            <w:pPr>
              <w:spacing w:after="60" w:line="269" w:lineRule="auto"/>
            </w:pPr>
            <w:r>
              <w:rPr>
                <w:rFonts w:ascii="Arial" w:hAnsi="Arial"/>
                <w:b w:val="0"/>
                <w:color w:val="18233F"/>
                <w:sz w:val="20"/>
              </w:rPr>
              <w:t>Starter · 4 min</w:t>
            </w:r>
          </w:p>
        </w:tc>
        <w:tc>
          <w:tcPr>
            <w:tcW w:type="dxa" w:w="3288"/>
            <w:vAlign w:val="top"/>
            <w:shd w:fill="F1F5F6"/>
          </w:tcPr>
          <w:p>
            <w:pPr>
              <w:spacing w:after="60" w:line="269" w:lineRule="auto"/>
            </w:pPr>
            <w:r>
              <w:rPr>
                <w:rFonts w:ascii="Arial" w:hAnsi="Arial"/>
                <w:b w:val="0"/>
                <w:color w:val="18233F"/>
                <w:sz w:val="20"/>
              </w:rPr>
              <w:t>Think first. Point, say, sign or write your choice.</w:t>
            </w:r>
          </w:p>
        </w:tc>
        <w:tc>
          <w:tcPr>
            <w:tcW w:type="dxa" w:w="3288"/>
            <w:vAlign w:val="top"/>
            <w:shd w:fill="F1F5F6"/>
          </w:tcPr>
          <w:p>
            <w:pPr>
              <w:spacing w:after="60" w:line="269" w:lineRule="auto"/>
            </w:pPr>
            <w:r>
              <w:rPr>
                <w:rFonts w:ascii="Arial" w:hAnsi="Arial"/>
                <w:b w:val="0"/>
                <w:color w:val="18233F"/>
                <w:sz w:val="20"/>
              </w:rPr>
              <w:t>Protect curiosity: receive every first idea without judgement. Ask ‘What makes you think that?’ and preserve the prediction for later evidence.</w:t>
            </w:r>
          </w:p>
        </w:tc>
      </w:tr>
      <w:tr>
        <w:trPr>
          <w:cantSplit/>
        </w:trPr>
        <w:tc>
          <w:tcPr>
            <w:tcW w:type="dxa" w:w="3288"/>
            <w:vAlign w:val="top"/>
            <w:shd w:fill="FFFFFF"/>
          </w:tcPr>
          <w:p>
            <w:pPr>
              <w:spacing w:after="60" w:line="269" w:lineRule="auto"/>
            </w:pPr>
            <w:r>
              <w:rPr>
                <w:rFonts w:ascii="Arial" w:hAnsi="Arial"/>
                <w:b w:val="0"/>
                <w:color w:val="18233F"/>
                <w:sz w:val="20"/>
              </w:rPr>
              <w:t>I do · 5 min</w:t>
            </w:r>
          </w:p>
        </w:tc>
        <w:tc>
          <w:tcPr>
            <w:tcW w:type="dxa" w:w="3288"/>
            <w:vAlign w:val="top"/>
            <w:shd w:fill="FFFFFF"/>
          </w:tcPr>
          <w:p>
            <w:pPr>
              <w:spacing w:after="60" w:line="269" w:lineRule="auto"/>
            </w:pPr>
            <w:r>
              <w:rPr>
                <w:rFonts w:ascii="Arial" w:hAnsi="Arial"/>
                <w:b w:val="0"/>
                <w:color w:val="18233F"/>
                <w:sz w:val="20"/>
              </w:rPr>
              <w:t>nutrition label — food information panel per 100 g — in the same 100 g amount evidence — the number we read Find the nutrition panel, then find ‘Carbohydrate — of which sugars’ on the supplied simplified card. Read all three parts aloud: the number, the unit g and the basis per 100 g.</w:t>
            </w:r>
          </w:p>
        </w:tc>
        <w:tc>
          <w:tcPr>
            <w:tcW w:type="dxa" w:w="3288"/>
            <w:vAlign w:val="top"/>
            <w:shd w:fill="FFFFFF"/>
          </w:tcPr>
          <w:p>
            <w:pPr>
              <w:spacing w:after="60" w:line="269" w:lineRule="auto"/>
            </w:pPr>
            <w:r>
              <w:rPr>
                <w:rFonts w:ascii="Arial" w:hAnsi="Arial"/>
                <w:b w:val="0"/>
                <w:color w:val="18233F"/>
                <w:sz w:val="20"/>
              </w:rPr>
              <w:t>Let the teacher/model carry the explanation; pupils watch, point or track. Use a visual cue only if access is the barrier, then fade it.</w:t>
            </w:r>
          </w:p>
        </w:tc>
      </w:tr>
      <w:tr>
        <w:trPr>
          <w:cantSplit/>
        </w:trPr>
        <w:tc>
          <w:tcPr>
            <w:tcW w:type="dxa" w:w="3288"/>
            <w:vAlign w:val="top"/>
            <w:shd w:fill="F1F5F6"/>
          </w:tcPr>
          <w:p>
            <w:pPr>
              <w:spacing w:after="60" w:line="269" w:lineRule="auto"/>
            </w:pPr>
            <w:r>
              <w:rPr>
                <w:rFonts w:ascii="Arial" w:hAnsi="Arial"/>
                <w:b w:val="0"/>
                <w:color w:val="18233F"/>
                <w:sz w:val="20"/>
              </w:rPr>
              <w:t>We do · 5 min</w:t>
            </w:r>
          </w:p>
        </w:tc>
        <w:tc>
          <w:tcPr>
            <w:tcW w:type="dxa" w:w="3288"/>
            <w:vAlign w:val="top"/>
            <w:shd w:fill="F1F5F6"/>
          </w:tcPr>
          <w:p>
            <w:pPr>
              <w:spacing w:after="60" w:line="269" w:lineRule="auto"/>
            </w:pPr>
            <w:r>
              <w:rPr>
                <w:rFonts w:ascii="Arial" w:hAnsi="Arial"/>
                <w:b w:val="0"/>
                <w:color w:val="18233F"/>
                <w:sz w:val="20"/>
              </w:rPr>
              <w:t>Commit to an answer. Show the evidence you used.</w:t>
            </w:r>
          </w:p>
        </w:tc>
        <w:tc>
          <w:tcPr>
            <w:tcW w:type="dxa" w:w="3288"/>
            <w:vAlign w:val="top"/>
            <w:shd w:fill="F1F5F6"/>
          </w:tcPr>
          <w:p>
            <w:pPr>
              <w:spacing w:after="60" w:line="269" w:lineRule="auto"/>
            </w:pPr>
            <w:r>
              <w:rPr>
                <w:rFonts w:ascii="Arial" w:hAnsi="Arial"/>
                <w:b w:val="0"/>
                <w:color w:val="18233F"/>
                <w:sz w:val="20"/>
              </w:rPr>
              <w:t>Scan every response mode. Do not infer understanding from handwriting or confidence. Secure: transfer. Mixed: contrast. Misconception: counterexample then a fresh question.</w:t>
            </w:r>
          </w:p>
        </w:tc>
      </w:tr>
      <w:tr>
        <w:trPr>
          <w:cantSplit/>
        </w:trPr>
        <w:tc>
          <w:tcPr>
            <w:tcW w:type="dxa" w:w="3288"/>
            <w:vAlign w:val="top"/>
            <w:shd w:fill="FFFFFF"/>
          </w:tcPr>
          <w:p>
            <w:pPr>
              <w:spacing w:after="60" w:line="269" w:lineRule="auto"/>
            </w:pPr>
            <w:r>
              <w:rPr>
                <w:rFonts w:ascii="Arial" w:hAnsi="Arial"/>
                <w:b w:val="0"/>
                <w:color w:val="18233F"/>
                <w:sz w:val="20"/>
              </w:rPr>
              <w:t>I do 2 · 4 min</w:t>
            </w:r>
          </w:p>
        </w:tc>
        <w:tc>
          <w:tcPr>
            <w:tcW w:type="dxa" w:w="3288"/>
            <w:vAlign w:val="top"/>
            <w:shd w:fill="FFFFFF"/>
          </w:tcPr>
          <w:p>
            <w:pPr>
              <w:spacing w:after="60" w:line="269" w:lineRule="auto"/>
            </w:pPr>
            <w:r>
              <w:rPr>
                <w:rFonts w:ascii="Arial" w:hAnsi="Arial"/>
                <w:b w:val="0"/>
                <w:color w:val="18233F"/>
                <w:sz w:val="20"/>
              </w:rPr>
              <w:t>Place the four same-basis values on a number line from the smallest number to the largest. Say the bounded conclusion: ‘Label A has less sugar per 100 g than Label D.’ Keep ‘per 100 g’ in the sentence.</w:t>
            </w:r>
          </w:p>
        </w:tc>
        <w:tc>
          <w:tcPr>
            <w:tcW w:type="dxa" w:w="3288"/>
            <w:vAlign w:val="top"/>
            <w:shd w:fill="FFFFFF"/>
          </w:tcPr>
          <w:p>
            <w:pPr>
              <w:spacing w:after="60" w:line="269" w:lineRule="auto"/>
            </w:pPr>
            <w:r>
              <w:rPr>
                <w:rFonts w:ascii="Arial" w:hAnsi="Arial"/>
                <w:b w:val="0"/>
                <w:color w:val="18233F"/>
                <w:sz w:val="20"/>
              </w:rPr>
              <w:t>Model one complete evidence-to-explanation sentence, then pause. Keep the science words; change density, modality or adult role before changing the goal.</w:t>
            </w:r>
          </w:p>
        </w:tc>
      </w:tr>
      <w:tr>
        <w:trPr>
          <w:cantSplit/>
        </w:trPr>
        <w:tc>
          <w:tcPr>
            <w:tcW w:type="dxa" w:w="3288"/>
            <w:vAlign w:val="top"/>
            <w:shd w:fill="F1F5F6"/>
          </w:tcPr>
          <w:p>
            <w:pPr>
              <w:spacing w:after="60" w:line="269" w:lineRule="auto"/>
            </w:pPr>
            <w:r>
              <w:rPr>
                <w:rFonts w:ascii="Arial" w:hAnsi="Arial"/>
                <w:b w:val="0"/>
                <w:color w:val="18233F"/>
                <w:sz w:val="20"/>
              </w:rPr>
              <w:t>We do 2 · 4 min</w:t>
            </w:r>
          </w:p>
        </w:tc>
        <w:tc>
          <w:tcPr>
            <w:tcW w:type="dxa" w:w="3288"/>
            <w:vAlign w:val="top"/>
            <w:shd w:fill="F1F5F6"/>
          </w:tcPr>
          <w:p>
            <w:pPr>
              <w:spacing w:after="60" w:line="269" w:lineRule="auto"/>
            </w:pPr>
            <w:r>
              <w:rPr>
                <w:rFonts w:ascii="Arial" w:hAnsi="Arial"/>
                <w:b w:val="0"/>
                <w:color w:val="18233F"/>
                <w:sz w:val="20"/>
              </w:rPr>
              <w:t>Read each supplied card, place the four values in order, then place the method and limitation cards. Find the sugar line.</w:t>
            </w:r>
          </w:p>
        </w:tc>
        <w:tc>
          <w:tcPr>
            <w:tcW w:type="dxa" w:w="3288"/>
            <w:vAlign w:val="top"/>
            <w:shd w:fill="F1F5F6"/>
          </w:tcPr>
          <w:p>
            <w:pPr>
              <w:spacing w:after="60" w:line="269" w:lineRule="auto"/>
            </w:pPr>
            <w:r>
              <w:rPr>
                <w:rFonts w:ascii="Arial" w:hAnsi="Arial"/>
                <w:b w:val="0"/>
                <w:color w:val="18233F"/>
                <w:sz w:val="20"/>
              </w:rPr>
              <w:t>Protect pupil operation and thinking; support handling only where needed. Ask what changed and what stayed the same before supplying a scientific word.</w:t>
            </w:r>
          </w:p>
        </w:tc>
      </w:tr>
      <w:tr>
        <w:trPr>
          <w:cantSplit/>
        </w:trPr>
        <w:tc>
          <w:tcPr>
            <w:tcW w:type="dxa" w:w="3288"/>
            <w:vAlign w:val="top"/>
            <w:shd w:fill="FFFFFF"/>
          </w:tcPr>
          <w:p>
            <w:pPr>
              <w:spacing w:after="60" w:line="269" w:lineRule="auto"/>
            </w:pPr>
            <w:r>
              <w:rPr>
                <w:rFonts w:ascii="Arial" w:hAnsi="Arial"/>
                <w:b w:val="0"/>
                <w:color w:val="18233F"/>
                <w:sz w:val="20"/>
              </w:rPr>
              <w:t>Independent · 10 min</w:t>
            </w:r>
          </w:p>
        </w:tc>
        <w:tc>
          <w:tcPr>
            <w:tcW w:type="dxa" w:w="3288"/>
            <w:vAlign w:val="top"/>
            <w:shd w:fill="FFFFFF"/>
          </w:tcPr>
          <w:p>
            <w:pPr>
              <w:spacing w:after="60" w:line="269" w:lineRule="auto"/>
            </w:pPr>
            <w:r>
              <w:rPr>
                <w:rFonts w:ascii="Arial" w:hAnsi="Arial"/>
                <w:b w:val="0"/>
                <w:color w:val="18233F"/>
                <w:sz w:val="20"/>
              </w:rPr>
              <w:t>Read and order four supplied label cards from least to most sugar per 100 g, then write or communicate one supported claim and one limitation. Record: Four sugar values in correct order with g per 100 g, one evidence sentence and one statement of what the comparison cannot show.</w:t>
            </w:r>
          </w:p>
        </w:tc>
        <w:tc>
          <w:tcPr>
            <w:tcW w:type="dxa" w:w="3288"/>
            <w:vAlign w:val="top"/>
            <w:shd w:fill="FFFFFF"/>
          </w:tcPr>
          <w:p>
            <w:pPr>
              <w:spacing w:after="60" w:line="269" w:lineRule="auto"/>
            </w:pPr>
            <w:r>
              <w:rPr>
                <w:rFonts w:ascii="Arial" w:hAnsi="Arial"/>
                <w:b w:val="0"/>
                <w:color w:val="18233F"/>
                <w:sz w:val="20"/>
              </w:rPr>
              <w:t>Protect independence. Accept equivalent evidence routes and scribe exact meaning. Prompt only as much as needed; fade as soon as the pupil continues.</w:t>
            </w:r>
          </w:p>
        </w:tc>
      </w:tr>
      <w:tr>
        <w:trPr>
          <w:cantSplit/>
        </w:trPr>
        <w:tc>
          <w:tcPr>
            <w:tcW w:type="dxa" w:w="3288"/>
            <w:vAlign w:val="top"/>
            <w:shd w:fill="F1F5F6"/>
          </w:tcPr>
          <w:p>
            <w:pPr>
              <w:spacing w:after="60" w:line="269" w:lineRule="auto"/>
            </w:pPr>
            <w:r>
              <w:rPr>
                <w:rFonts w:ascii="Arial" w:hAnsi="Arial"/>
                <w:b w:val="0"/>
                <w:color w:val="18233F"/>
                <w:sz w:val="20"/>
              </w:rPr>
              <w:t>Exit · 4 min</w:t>
            </w:r>
          </w:p>
        </w:tc>
        <w:tc>
          <w:tcPr>
            <w:tcW w:type="dxa" w:w="3288"/>
            <w:vAlign w:val="top"/>
            <w:shd w:fill="F1F5F6"/>
          </w:tcPr>
          <w:p>
            <w:pPr>
              <w:spacing w:after="60" w:line="269" w:lineRule="auto"/>
            </w:pPr>
            <w:r>
              <w:rPr>
                <w:rFonts w:ascii="Arial" w:hAnsi="Arial"/>
                <w:b w:val="0"/>
                <w:color w:val="18233F"/>
                <w:sz w:val="20"/>
              </w:rPr>
              <w:t>Give one fair same-basis sugar comparison and state why sugar alone cannot describe the whole food. Point to, read or explain the evidence you made.</w:t>
            </w:r>
          </w:p>
        </w:tc>
        <w:tc>
          <w:tcPr>
            <w:tcW w:type="dxa" w:w="3288"/>
            <w:vAlign w:val="top"/>
            <w:shd w:fill="F1F5F6"/>
          </w:tcPr>
          <w:p>
            <w:pPr>
              <w:spacing w:after="60" w:line="269" w:lineRule="auto"/>
            </w:pPr>
            <w:r>
              <w:rPr>
                <w:rFonts w:ascii="Arial" w:hAnsi="Arial"/>
                <w:b w:val="0"/>
                <w:color w:val="18233F"/>
                <w:sz w:val="20"/>
              </w:rPr>
              <w:t>Genuinely receive one final response and name back the Science heard or seen. Choose one visible next move; written closure is optional when Voice and Audience are observable.</w:t>
            </w:r>
          </w:p>
        </w:tc>
      </w:tr>
    </w:tbl>
    <w:p>
      <w:pPr>
        <w:spacing w:after="0"/>
      </w:pPr>
    </w:p>
    <w:p>
      <w:r>
        <w:t>The timing belongs to the whole stage. Several PowerPoint slides may share it; do not restart that time on every slide. Full source-stage text is in the PowerPoint speaker notes and original HTML.</w:t>
      </w:r>
    </w:p>
    <w:p>
      <w:pPr>
        <w:pStyle w:val="Heading1"/>
        <w:pageBreakBefore/>
      </w:pPr>
      <w:r>
        <w:t>Answers, evidence and feedback</w:t>
      </w:r>
    </w:p>
    <w:p>
      <w:pPr>
        <w:pStyle w:val="Heading2"/>
      </w:pPr>
      <w:r>
        <w:t>Hinge answer: Compare 4 g per 100 g with 11 g per 100 g.</w:t>
      </w:r>
    </w:p>
    <w:p>
      <w:r>
        <w:t>Yes. Both values describe sugar in the same 100 g mass, so the numbers can be ordered directly.</w:t>
      </w:r>
    </w:p>
    <w:p>
      <w:pPr>
        <w:pStyle w:val="Heading2"/>
      </w:pPr>
      <w:r>
        <w:t>Misconception repair</w:t>
      </w:r>
    </w:p>
    <w:p>
      <w:r>
        <w:t>Repaired. The cards support a least-to-most sugar order per 100 g, not a complete health judgement.</w:t>
      </w:r>
    </w:p>
    <w:p>
      <w:pPr>
        <w:pStyle w:val="Heading2"/>
      </w:pPr>
      <w:r>
        <w:t>Guided checkpoint</w:t>
      </w:r>
    </w:p>
    <w:p>
      <w:r>
        <w:t>Yes. Both values describe sugar in the same 100 g mass, so the numbers can be ordered directly. Check the nutrient, unit and basis. All three must match before the numbers are ordered.</w:t>
      </w:r>
    </w:p>
    <w:p>
      <w:pPr>
        <w:pStyle w:val="Heading2"/>
      </w:pPr>
      <w:r>
        <w:t>Label A · 4 g per 100 g</w:t>
      </w:r>
    </w:p>
    <w:p>
      <w:r>
        <w:t>1 · LEAST SUGAR PER 100 g. 4 is the smallest supplied same-basis value. Compare the four numbers only after checking they all say per 100 g.</w:t>
      </w:r>
    </w:p>
    <w:p>
      <w:pPr>
        <w:pStyle w:val="Heading2"/>
      </w:pPr>
      <w:r>
        <w:t>Label B · 9 g per 100 g</w:t>
      </w:r>
    </w:p>
    <w:p>
      <w:r>
        <w:t>2 · NEXT VALUE. 9 comes after 4 and before 14 on the number line. Place 9 between the smaller 4 and larger 14.</w:t>
      </w:r>
    </w:p>
    <w:p>
      <w:pPr>
        <w:pStyle w:val="Heading2"/>
      </w:pPr>
      <w:r>
        <w:t>Label C · 14 g per 100 g</w:t>
      </w:r>
    </w:p>
    <w:p>
      <w:r>
        <w:t>3 · NEXT VALUE. 14 comes after 9 and before 23. Use the number line: 9 &lt; 14 &lt; 23.</w:t>
      </w:r>
    </w:p>
    <w:p>
      <w:pPr>
        <w:pStyle w:val="Heading2"/>
      </w:pPr>
      <w:r>
        <w:t>Label D · 23 g per 100 g</w:t>
      </w:r>
    </w:p>
    <w:p>
      <w:r>
        <w:t>4 · MOST SUGAR PER 100 g. 23 is the largest supplied same-basis value. Find the greatest of 4, 9, 14 and 23.</w:t>
      </w:r>
    </w:p>
    <w:p>
      <w:pPr>
        <w:pStyle w:val="Heading2"/>
      </w:pPr>
      <w:r>
        <w:t>Same nutrient, unit and basis</w:t>
      </w:r>
    </w:p>
    <w:p>
      <w:r>
        <w:t>FAIR-COMPARISON RULE. Fair rule: sugar, g and per 100 g all match. This card explains why the four numbers can be ordered directly.</w:t>
      </w:r>
    </w:p>
    <w:p>
      <w:pPr>
        <w:pStyle w:val="Heading2"/>
      </w:pPr>
      <w:r>
        <w:t>Sugar is one part of nutrition</w:t>
      </w:r>
    </w:p>
    <w:p>
      <w:r>
        <w:t>LIMIT OF THE CLAIM. Limit: the order answers the sugar question only. This card stops a sugar comparison becoming a claim about the whole food or person.</w:t>
      </w:r>
    </w:p>
    <w:p>
      <w:pPr>
        <w:pStyle w:val="Heading2"/>
      </w:pPr>
      <w:r>
        <w:t>Model limitation</w:t>
      </w:r>
    </w:p>
    <w:p>
      <w:r>
        <w:t>The simplified cards show sugar values only. They do not show portion eaten, frequency, other nutrients, allergies, medical needs or a whole dietary pattern.</w:t>
      </w:r>
    </w:p>
    <w:p>
      <w:pPr>
        <w:pStyle w:val="Heading2"/>
      </w:pPr>
      <w:r>
        <w:t>Independent evidence</w:t>
      </w:r>
    </w:p>
    <w:p>
      <w:r>
        <w:t>Four sugar values in correct order with g per 100 g, one evidence sentence and one statement of what the comparison cannot show.</w:t>
      </w:r>
    </w:p>
    <w:p>
      <w:r>
        <w:t>Supported: Match four large number cards to a number line, then complete: __ g is least; __ g is most. Keep g and per 100 g printed beside every number. Offer two placements at a time and exact scribing.</w:t>
      </w:r>
    </w:p>
    <w:p>
      <w:r>
        <w:t>Standard: Read the four sugar lines, build the table independently and explain one comparison using less/more and per 100 g. Use: Label __ has __ g per 100 g. This is less/more than __ because __.</w:t>
      </w:r>
    </w:p>
    <w:p>
      <w:r>
        <w:t>Stretch: Audit a mixed-basis comparison, explain why it is invalid and state what extra information would be needed before a wider nutrition claim. Distinguish per serving from per 100 g and keep the conclusion within the available evidence.</w:t>
      </w:r>
    </w:p>
    <w:p>
      <w:pPr>
        <w:pStyle w:val="Heading2"/>
      </w:pPr>
      <w:r>
        <w:t>Record the teaching response</w:t>
      </w:r>
    </w:p>
    <w:tbl>
      <w:tblPr>
        <w:tblW w:type="dxa" w:w="9865"/>
        <w:jc w:val="center"/>
        <w:tblLayout w:type="fixed"/>
        <w:tblLook w:firstColumn="1" w:firstRow="1" w:lastColumn="0" w:lastRow="0" w:noHBand="0" w:noVBand="1" w:val="04A0"/>
        <w:tblInd w:w="0" w:type="dxa"/>
        <w:tblCellMar>
          <w:top w:w="90" w:type="dxa"/>
          <w:left w:w="90" w:type="dxa"/>
          <w:bottom w:w="90" w:type="dxa"/>
          <w:right w:w="90" w:type="dxa"/>
        </w:tblCellMar>
      </w:tblPr>
      <w:tblGrid>
        <w:gridCol w:w="4932"/>
        <w:gridCol w:w="4932"/>
      </w:tblGrid>
      <w:tr>
        <w:trPr>
          <w:cantSplit/>
          <w:tblHeader/>
        </w:trPr>
        <w:tc>
          <w:tcPr>
            <w:tcW w:type="dxa" w:w="4932"/>
            <w:vAlign w:val="top"/>
            <w:shd w:fill="4E7A9B"/>
          </w:tcPr>
          <w:p>
            <w:pPr>
              <w:spacing w:after="60" w:line="269" w:lineRule="auto"/>
            </w:pPr>
            <w:r>
              <w:rPr>
                <w:rFonts w:ascii="Arial" w:hAnsi="Arial"/>
                <w:b/>
                <w:color w:val="FFFFFF"/>
                <w:sz w:val="21"/>
              </w:rPr>
              <w:t>What the learner actually showed</w:t>
            </w:r>
          </w:p>
        </w:tc>
        <w:tc>
          <w:tcPr>
            <w:tcW w:type="dxa" w:w="4932"/>
            <w:vAlign w:val="top"/>
            <w:shd w:fill="4E7A9B"/>
          </w:tcPr>
          <w:p>
            <w:pPr>
              <w:spacing w:after="60" w:line="269" w:lineRule="auto"/>
            </w:pPr>
            <w:r>
              <w:rPr>
                <w:rFonts w:ascii="Arial" w:hAnsi="Arial"/>
                <w:b/>
                <w:color w:val="FFFFFF"/>
                <w:sz w:val="21"/>
              </w:rPr>
              <w:t>Next teaching action</w:t>
            </w:r>
          </w:p>
        </w:tc>
      </w:tr>
      <w:tr>
        <w:trPr>
          <w:cantSplit/>
        </w:trPr>
        <w:tc>
          <w:tcPr>
            <w:tcW w:type="dxa" w:w="4932"/>
            <w:vAlign w:val="top"/>
            <w:shd w:fill="FFFFFF"/>
          </w:tcPr>
          <w:p>
            <w:pPr>
              <w:spacing w:after="60" w:line="269" w:lineRule="auto"/>
            </w:pPr>
            <w:r>
              <w:rPr>
                <w:rFonts w:ascii="Arial" w:hAnsi="Arial"/>
                <w:b w:val="0"/>
                <w:color w:val="18233F"/>
                <w:sz w:val="21"/>
              </w:rPr>
              <w:t>Secure explanation with evidence</w:t>
            </w:r>
          </w:p>
        </w:tc>
        <w:tc>
          <w:tcPr>
            <w:tcW w:type="dxa" w:w="4932"/>
            <w:vAlign w:val="top"/>
            <w:shd w:fill="FFFFFF"/>
          </w:tcPr>
          <w:p>
            <w:pPr>
              <w:spacing w:after="60" w:line="269" w:lineRule="auto"/>
            </w:pPr>
            <w:r>
              <w:rPr>
                <w:rFonts w:ascii="Arial" w:hAnsi="Arial"/>
                <w:b w:val="0"/>
                <w:color w:val="18233F"/>
                <w:sz w:val="21"/>
              </w:rPr>
              <w:t>Reduce content prompting; offer another example or a limitation.</w:t>
            </w:r>
          </w:p>
        </w:tc>
      </w:tr>
      <w:tr>
        <w:trPr>
          <w:cantSplit/>
        </w:trPr>
        <w:tc>
          <w:tcPr>
            <w:tcW w:type="dxa" w:w="4932"/>
            <w:vAlign w:val="top"/>
            <w:shd w:fill="F1F5F6"/>
          </w:tcPr>
          <w:p>
            <w:pPr>
              <w:spacing w:after="60" w:line="269" w:lineRule="auto"/>
            </w:pPr>
            <w:r>
              <w:rPr>
                <w:rFonts w:ascii="Arial" w:hAnsi="Arial"/>
                <w:b w:val="0"/>
                <w:color w:val="18233F"/>
                <w:sz w:val="21"/>
              </w:rPr>
              <w:t>Partly correct / mixed</w:t>
            </w:r>
          </w:p>
        </w:tc>
        <w:tc>
          <w:tcPr>
            <w:tcW w:type="dxa" w:w="4932"/>
            <w:vAlign w:val="top"/>
            <w:shd w:fill="F1F5F6"/>
          </w:tcPr>
          <w:p>
            <w:pPr>
              <w:spacing w:after="60" w:line="269" w:lineRule="auto"/>
            </w:pPr>
            <w:r>
              <w:rPr>
                <w:rFonts w:ascii="Arial" w:hAnsi="Arial"/>
                <w:b w:val="0"/>
                <w:color w:val="18233F"/>
                <w:sz w:val="21"/>
              </w:rPr>
              <w:t>Point to the deciding evidence and invite a revision.</w:t>
            </w:r>
          </w:p>
        </w:tc>
      </w:tr>
      <w:tr>
        <w:trPr>
          <w:cantSplit/>
        </w:trPr>
        <w:tc>
          <w:tcPr>
            <w:tcW w:type="dxa" w:w="4932"/>
            <w:vAlign w:val="top"/>
            <w:shd w:fill="FFFFFF"/>
          </w:tcPr>
          <w:p>
            <w:pPr>
              <w:spacing w:after="60" w:line="269" w:lineRule="auto"/>
            </w:pPr>
            <w:r>
              <w:rPr>
                <w:rFonts w:ascii="Arial" w:hAnsi="Arial"/>
                <w:b w:val="0"/>
                <w:color w:val="18233F"/>
                <w:sz w:val="21"/>
              </w:rPr>
              <w:t>Access barrier</w:t>
            </w:r>
          </w:p>
        </w:tc>
        <w:tc>
          <w:tcPr>
            <w:tcW w:type="dxa" w:w="4932"/>
            <w:vAlign w:val="top"/>
            <w:shd w:fill="FFFFFF"/>
          </w:tcPr>
          <w:p>
            <w:pPr>
              <w:spacing w:after="60" w:line="269" w:lineRule="auto"/>
            </w:pPr>
            <w:r>
              <w:rPr>
                <w:rFonts w:ascii="Arial" w:hAnsi="Arial"/>
                <w:b w:val="0"/>
                <w:color w:val="18233F"/>
                <w:sz w:val="21"/>
              </w:rPr>
              <w:t>Change the reading, sensory or response format; keep the subject decision.</w:t>
            </w:r>
          </w:p>
        </w:tc>
      </w:tr>
      <w:tr>
        <w:trPr>
          <w:cantSplit/>
        </w:trPr>
        <w:tc>
          <w:tcPr>
            <w:tcW w:type="dxa" w:w="4932"/>
            <w:vAlign w:val="top"/>
            <w:shd w:fill="F1F5F6"/>
          </w:tcPr>
          <w:p>
            <w:pPr>
              <w:spacing w:after="60" w:line="269" w:lineRule="auto"/>
            </w:pPr>
            <w:r>
              <w:rPr>
                <w:rFonts w:ascii="Arial" w:hAnsi="Arial"/>
                <w:b w:val="0"/>
                <w:color w:val="18233F"/>
                <w:sz w:val="21"/>
              </w:rPr>
              <w:t>Missing source or observation</w:t>
            </w:r>
          </w:p>
        </w:tc>
        <w:tc>
          <w:tcPr>
            <w:tcW w:type="dxa" w:w="4932"/>
            <w:vAlign w:val="top"/>
            <w:shd w:fill="F1F5F6"/>
          </w:tcPr>
          <w:p>
            <w:pPr>
              <w:spacing w:after="60" w:line="269" w:lineRule="auto"/>
            </w:pPr>
            <w:r>
              <w:rPr>
                <w:rFonts w:ascii="Arial" w:hAnsi="Arial"/>
                <w:b w:val="0"/>
                <w:color w:val="18233F"/>
                <w:sz w:val="21"/>
              </w:rPr>
              <w:t>Keep the gap visible. Name the source or authorised check needed.</w:t>
            </w:r>
          </w:p>
        </w:tc>
      </w:tr>
    </w:tbl>
    <w:p>
      <w:pPr>
        <w:spacing w:after="0"/>
      </w:pPr>
    </w:p>
    <w:p>
      <w:pPr>
        <w:pStyle w:val="Heading2"/>
      </w:pPr>
      <w:r>
        <w:t>Safety and evidence boundary</w:t>
      </w:r>
    </w:p>
    <w:p>
      <w:r>
        <w:t>Use the centre’s authorised practical or fieldwork method and local risk assessment. Supplied sample data, fictional place models, card feedback and rehearsals are teaching material. They are not the learner’s practical observations or proof of a qualification outcome. For portfolio use, check the exact registered unit/version, accepted evidence and centre process.</w:t>
      </w:r>
    </w:p>
    <w:p>
      <w:pPr>
        <w:pStyle w:val="Heading1"/>
      </w:pPr>
      <w:r>
        <w:t>Sources and companion notes</w:t>
      </w:r>
    </w:p>
    <w:p>
      <w:r>
        <w:t>Primary classroom source: SCI_B_W8A_Sugar_Labels_Explore.html</w:t>
      </w:r>
    </w:p>
    <w:p>
      <w:r>
        <w:t>The uploaded lesson is included unchanged. Text and teaching steps in the PowerPoint are editable; source diagrams are placed images. Word booklets are editable. Static PDFs cannot reproduce HTML controls; use the paper cards/tables or open the original HTML.</w:t>
      </w:r>
    </w:p>
    <w:p>
      <w:r>
        <w:t>Verification scope: matched to the uploaded title, pathway, objective, stage sequence and 40-minute timing. Embedded workbook references are retained as source locators; this is not a new line-by-line audit of every scheme-of-work row or a centre assessment sign-off.</w:t>
      </w:r>
    </w:p>
    <w:sectPr w:rsidR="00FC693F" w:rsidRPr="0006063C" w:rsidSect="00034616">
      <w:headerReference w:type="default" r:id="rId9"/>
      <w:footerReference w:type="default" r:id="rId10"/>
      <w:pgSz w:w="11906" w:h="16838"/>
      <w:pgMar w:top="1020" w:right="1020" w:bottom="1020" w:left="1020"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6"/>
      </w:rPr>
      <w:t xml:space="preserve">W8A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rFonts w:ascii="Arial" w:hAnsi="Arial"/>
        <w:color w:val="4E7A9B"/>
        <w:sz w:val="18"/>
      </w:rPr>
      <w:t>BUILD  /  SCIENCE    •    TEACHER PACK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olor w:val="18233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Arial" w:hAnsi="Arial"/>
      <w:b/>
      <w:bCs/>
      <w:color w:val="4E7A9B"/>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b/>
      <w:bCs/>
      <w:color w:val="4E7A9B"/>
      <w:sz w:val="26"/>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Arial" w:hAnsi="Arial"/>
      <w:b/>
      <w:bCs/>
      <w:color w:val="4E7A9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rial" w:hAnsi="Arial"/>
      <w:b/>
      <w:color w:val="4E7A9B"/>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76" w:lineRule="auto"/>
    </w:pPr>
    <w:rPr>
      <w:rFonts w:ascii="Arial" w:hAnsi="Arial"/>
      <w:color w:val="18233F"/>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76" w:lineRule="auto"/>
      <w:ind w:left="340" w:hanging="170"/>
      <w:contextualSpacing/>
    </w:pPr>
    <w:rPr>
      <w:rFonts w:ascii="Arial" w:hAnsi="Arial"/>
      <w:color w:val="18233F"/>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line="276" w:lineRule="auto"/>
      <w:ind w:left="340" w:hanging="170"/>
      <w:contextualSpacing/>
    </w:pPr>
    <w:rPr>
      <w:rFonts w:ascii="Arial" w:hAnsi="Arial"/>
      <w:color w:val="18233F"/>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