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Fruit DNA: Extract, Observe, Evaluate</w:t>
      </w:r>
    </w:p>
    <w:p>
      <w:pPr>
        <w:pStyle w:val="Subtitle"/>
      </w:pPr>
      <w:r>
        <w:t>LAUNCH · Science · 40 minutes</w:t>
      </w:r>
    </w:p>
    <w:p>
      <w:r>
        <w:t>I can explain the steps in fruit-DNA extraction, record an observation and evaluate the evidence cautiously.</w:t>
      </w:r>
    </w:p>
    <w:p>
      <w:pPr>
        <w:pStyle w:val="Heading1"/>
      </w:pPr>
      <w:r>
        <w:t>Prepare before pupils arrive</w:t>
      </w:r>
    </w:p>
    <w:p>
      <w:r>
        <w:t>Setup: Pre-chill ethanol, prepare all solutions and decide whether the class uses physical, adult-demonstrated or parity-data route. Label this NON-CORE.</w:t>
      </w:r>
    </w:p>
    <w:p>
      <w:r>
        <w:t>Safety: Follow local COSHH/risk assessment. Adult controls ethanol throughout; no ignition source, tasting or direct pupil contact.</w:t>
      </w:r>
    </w:p>
    <w:p>
      <w:r>
        <w:t>Equipment: Adult-prepared fruit, salt-detergent solution, sealable bag, filter/mesh, clear tube, cold ethanol controlled by an adult, tray and observation sheet.</w:t>
      </w:r>
    </w:p>
    <w:p>
      <w:r>
        <w:t>Safety: Local risk assessment required. Ethanol is flammable and adult-handled only; keep away from flames/heat. Wear eye protection as locally required. Do not taste or touch materials; wash hands and clear spills promptly.</w:t>
      </w:r>
    </w:p>
    <w:p>
      <w:r>
        <w:t>Fallback: The pupil directs each method step while an adult handles all liquids, or analyses the parity dataset. Direction, observation and evaluation remain the assessed Science.</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Source lesson curriculum link: Explain how DNA can be extracted from fruit; connect the observation to genetic information.</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7A5C9E"/>
          </w:tcPr>
          <w:p>
            <w:pPr>
              <w:spacing w:after="60" w:line="269" w:lineRule="auto"/>
            </w:pPr>
            <w:r>
              <w:rPr>
                <w:rFonts w:ascii="Arial" w:hAnsi="Arial"/>
                <w:b/>
                <w:color w:val="FFFFFF"/>
                <w:sz w:val="20"/>
              </w:rPr>
              <w:t>Stage / total time</w:t>
            </w:r>
          </w:p>
        </w:tc>
        <w:tc>
          <w:tcPr>
            <w:tcW w:type="dxa" w:w="3288"/>
            <w:vAlign w:val="top"/>
            <w:shd w:fill="7A5C9E"/>
          </w:tcPr>
          <w:p>
            <w:pPr>
              <w:spacing w:after="60" w:line="269" w:lineRule="auto"/>
            </w:pPr>
            <w:r>
              <w:rPr>
                <w:rFonts w:ascii="Arial" w:hAnsi="Arial"/>
                <w:b/>
                <w:color w:val="FFFFFF"/>
                <w:sz w:val="20"/>
              </w:rPr>
              <w:t>Teaching move</w:t>
            </w:r>
          </w:p>
        </w:tc>
        <w:tc>
          <w:tcPr>
            <w:tcW w:type="dxa" w:w="3288"/>
            <w:vAlign w:val="top"/>
            <w:shd w:fill="7A5C9E"/>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3 min</w:t>
            </w:r>
          </w:p>
        </w:tc>
        <w:tc>
          <w:tcPr>
            <w:tcW w:type="dxa" w:w="3288"/>
            <w:vAlign w:val="top"/>
            <w:shd w:fill="FFFFFF"/>
          </w:tcPr>
          <w:p>
            <w:pPr>
              <w:spacing w:after="60" w:line="269" w:lineRule="auto"/>
            </w:pPr>
            <w:r>
              <w:rPr>
                <w:rFonts w:ascii="Arial" w:hAnsi="Arial"/>
                <w:b w:val="0"/>
                <w:color w:val="18233F"/>
                <w:sz w:val="20"/>
              </w:rPr>
              <w:t>Describe complementary base pairing. State the chromosome-DNA-gene relationship.</w:t>
            </w:r>
          </w:p>
        </w:tc>
        <w:tc>
          <w:tcPr>
            <w:tcW w:type="dxa" w:w="3288"/>
            <w:vAlign w:val="top"/>
            <w:shd w:fill="FFFFFF"/>
          </w:tcPr>
          <w:p>
            <w:pPr>
              <w:spacing w:after="60" w:line="269" w:lineRule="auto"/>
            </w:pPr>
            <w:r>
              <w:rPr>
                <w:rFonts w:ascii="Arial" w:hAnsi="Arial"/>
                <w:b w:val="0"/>
                <w:color w:val="18233F"/>
                <w:sz w:val="20"/>
              </w:rPr>
              <w:t>Wait, regulate and retrieve through the lightest workable route. If recall is inaccessible, point to one retrieval sentence; do not teach today’s answer.</w:t>
            </w:r>
          </w:p>
        </w:tc>
      </w:tr>
      <w:tr>
        <w:trPr>
          <w:cantSplit/>
        </w:trPr>
        <w:tc>
          <w:tcPr>
            <w:tcW w:type="dxa" w:w="3288"/>
            <w:vAlign w:val="top"/>
            <w:shd w:fill="F1F5F6"/>
          </w:tcPr>
          <w:p>
            <w:pPr>
              <w:spacing w:after="60" w:line="269" w:lineRule="auto"/>
            </w:pPr>
            <w:r>
              <w:rPr>
                <w:rFonts w:ascii="Arial" w:hAnsi="Arial"/>
                <w:b w:val="0"/>
                <w:color w:val="18233F"/>
                <w:sz w:val="20"/>
              </w:rPr>
              <w:t>Starter · 3 min</w:t>
            </w:r>
          </w:p>
        </w:tc>
        <w:tc>
          <w:tcPr>
            <w:tcW w:type="dxa" w:w="3288"/>
            <w:vAlign w:val="top"/>
            <w:shd w:fill="F1F5F6"/>
          </w:tcPr>
          <w:p>
            <w:pPr>
              <w:spacing w:after="60" w:line="269" w:lineRule="auto"/>
            </w:pPr>
            <w:r>
              <w:rPr>
                <w:rFonts w:ascii="Arial" w:hAnsi="Arial"/>
                <w:b w:val="0"/>
                <w:color w:val="18233F"/>
                <w:sz w:val="20"/>
              </w:rPr>
              <w:t>Think first. Point, say, sign or write your choice.</w:t>
            </w:r>
          </w:p>
        </w:tc>
        <w:tc>
          <w:tcPr>
            <w:tcW w:type="dxa" w:w="3288"/>
            <w:vAlign w:val="top"/>
            <w:shd w:fill="F1F5F6"/>
          </w:tcPr>
          <w:p>
            <w:pPr>
              <w:spacing w:after="60" w:line="269" w:lineRule="auto"/>
            </w:pPr>
            <w:r>
              <w:rPr>
                <w:rFonts w:ascii="Arial" w:hAnsi="Arial"/>
                <w:b w:val="0"/>
                <w:color w:val="18233F"/>
                <w:sz w:val="20"/>
              </w:rPr>
              <w:t>Protect curiosity: receive every first idea without judgement. Ask ‘What makes you think that?’ and preserve the prediction for later evidence.</w:t>
            </w:r>
          </w:p>
        </w:tc>
      </w:tr>
      <w:tr>
        <w:trPr>
          <w:cantSplit/>
        </w:trPr>
        <w:tc>
          <w:tcPr>
            <w:tcW w:type="dxa" w:w="3288"/>
            <w:vAlign w:val="top"/>
            <w:shd w:fill="FFFFFF"/>
          </w:tcPr>
          <w:p>
            <w:pPr>
              <w:spacing w:after="60" w:line="269" w:lineRule="auto"/>
            </w:pPr>
            <w:r>
              <w:rPr>
                <w:rFonts w:ascii="Arial" w:hAnsi="Arial"/>
                <w:b w:val="0"/>
                <w:color w:val="18233F"/>
                <w:sz w:val="20"/>
              </w:rPr>
              <w:t>I do · 4 min</w:t>
            </w:r>
          </w:p>
        </w:tc>
        <w:tc>
          <w:tcPr>
            <w:tcW w:type="dxa" w:w="3288"/>
            <w:vAlign w:val="top"/>
            <w:shd w:fill="FFFFFF"/>
          </w:tcPr>
          <w:p>
            <w:pPr>
              <w:spacing w:after="60" w:line="269" w:lineRule="auto"/>
            </w:pPr>
            <w:r>
              <w:rPr>
                <w:rFonts w:ascii="Arial" w:hAnsi="Arial"/>
                <w:b w:val="0"/>
                <w:color w:val="18233F"/>
                <w:sz w:val="20"/>
              </w:rPr>
              <w:t>filtrate — liquid through the filter precipitate — material appearing from solution extract — remove from a mixture Mash the fruit with salt-detergent solution: detergent disrupts cell and nuclear membranes, while salt helps DNA strands clump together. Filter the mixture; collect the filtrate while larger fruit solids remain behind.</w:t>
            </w:r>
          </w:p>
        </w:tc>
        <w:tc>
          <w:tcPr>
            <w:tcW w:type="dxa" w:w="3288"/>
            <w:vAlign w:val="top"/>
            <w:shd w:fill="FFFFFF"/>
          </w:tcPr>
          <w:p>
            <w:pPr>
              <w:spacing w:after="60" w:line="269" w:lineRule="auto"/>
            </w:pPr>
            <w:r>
              <w:rPr>
                <w:rFonts w:ascii="Arial" w:hAnsi="Arial"/>
                <w:b w:val="0"/>
                <w:color w:val="18233F"/>
                <w:sz w:val="20"/>
              </w:rPr>
              <w:t>Let the teacher/model carry the explanation; pupils watch, point or track. Use a visual cue only if access is the barrier, then fade it.</w:t>
            </w:r>
          </w:p>
        </w:tc>
      </w:tr>
      <w:tr>
        <w:trPr>
          <w:cantSplit/>
        </w:trPr>
        <w:tc>
          <w:tcPr>
            <w:tcW w:type="dxa" w:w="3288"/>
            <w:vAlign w:val="top"/>
            <w:shd w:fill="F1F5F6"/>
          </w:tcPr>
          <w:p>
            <w:pPr>
              <w:spacing w:after="60" w:line="269" w:lineRule="auto"/>
            </w:pPr>
            <w:r>
              <w:rPr>
                <w:rFonts w:ascii="Arial" w:hAnsi="Arial"/>
                <w:b w:val="0"/>
                <w:color w:val="18233F"/>
                <w:sz w:val="20"/>
              </w:rPr>
              <w:t>We do · 4 min</w:t>
            </w:r>
          </w:p>
        </w:tc>
        <w:tc>
          <w:tcPr>
            <w:tcW w:type="dxa" w:w="3288"/>
            <w:vAlign w:val="top"/>
            <w:shd w:fill="F1F5F6"/>
          </w:tcPr>
          <w:p>
            <w:pPr>
              <w:spacing w:after="60" w:line="269" w:lineRule="auto"/>
            </w:pPr>
            <w:r>
              <w:rPr>
                <w:rFonts w:ascii="Arial" w:hAnsi="Arial"/>
                <w:b w:val="0"/>
                <w:color w:val="18233F"/>
                <w:sz w:val="20"/>
              </w:rPr>
              <w:t>Commit to an answer. Show the evidence you used.</w:t>
            </w:r>
          </w:p>
        </w:tc>
        <w:tc>
          <w:tcPr>
            <w:tcW w:type="dxa" w:w="3288"/>
            <w:vAlign w:val="top"/>
            <w:shd w:fill="F1F5F6"/>
          </w:tcPr>
          <w:p>
            <w:pPr>
              <w:spacing w:after="60" w:line="269" w:lineRule="auto"/>
            </w:pPr>
            <w:r>
              <w:rPr>
                <w:rFonts w:ascii="Arial" w:hAnsi="Arial"/>
                <w:b w:val="0"/>
                <w:color w:val="18233F"/>
                <w:sz w:val="20"/>
              </w:rPr>
              <w:t>Scan every response mode. Do not infer understanding from handwriting or confidence. Secure: transfer. Mixed: contrast. Misconception: counterexample then a fresh question.</w:t>
            </w:r>
          </w:p>
        </w:tc>
      </w:tr>
      <w:tr>
        <w:trPr>
          <w:cantSplit/>
        </w:trPr>
        <w:tc>
          <w:tcPr>
            <w:tcW w:type="dxa" w:w="3288"/>
            <w:vAlign w:val="top"/>
            <w:shd w:fill="FFFFFF"/>
          </w:tcPr>
          <w:p>
            <w:pPr>
              <w:spacing w:after="60" w:line="269" w:lineRule="auto"/>
            </w:pPr>
            <w:r>
              <w:rPr>
                <w:rFonts w:ascii="Arial" w:hAnsi="Arial"/>
                <w:b w:val="0"/>
                <w:color w:val="18233F"/>
                <w:sz w:val="20"/>
              </w:rPr>
              <w:t>I do 2 · 3 min</w:t>
            </w:r>
          </w:p>
        </w:tc>
        <w:tc>
          <w:tcPr>
            <w:tcW w:type="dxa" w:w="3288"/>
            <w:vAlign w:val="top"/>
            <w:shd w:fill="FFFFFF"/>
          </w:tcPr>
          <w:p>
            <w:pPr>
              <w:spacing w:after="60" w:line="269" w:lineRule="auto"/>
            </w:pPr>
            <w:r>
              <w:rPr>
                <w:rFonts w:ascii="Arial" w:hAnsi="Arial"/>
                <w:b w:val="0"/>
                <w:color w:val="18233F"/>
                <w:sz w:val="20"/>
              </w:rPr>
              <w:t>Observation: describe colour, location and texture without writing 'pure DNA'. Inference: the extraction method is expected to produce DNA-containing material, but appearance alone cannot identify every component.</w:t>
            </w:r>
          </w:p>
        </w:tc>
        <w:tc>
          <w:tcPr>
            <w:tcW w:type="dxa" w:w="3288"/>
            <w:vAlign w:val="top"/>
            <w:shd w:fill="FFFFFF"/>
          </w:tcPr>
          <w:p>
            <w:pPr>
              <w:spacing w:after="60" w:line="269" w:lineRule="auto"/>
            </w:pPr>
            <w:r>
              <w:rPr>
                <w:rFonts w:ascii="Arial" w:hAnsi="Arial"/>
                <w:b w:val="0"/>
                <w:color w:val="18233F"/>
                <w:sz w:val="20"/>
              </w:rPr>
              <w:t>Model one complete evidence-to-explanation sentence, then pause. Keep the science words; change density, modality or adult role before changing the goal.</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Classify each statement after the practical or parity dataset, then repair any overclaim. METHOD OBSERVE INFER LIMIT CONNECT Use the numbered cards in your pupil pack.</w:t>
            </w:r>
          </w:p>
        </w:tc>
        <w:tc>
          <w:tcPr>
            <w:tcW w:type="dxa" w:w="3288"/>
            <w:vAlign w:val="top"/>
            <w:shd w:fill="F1F5F6"/>
          </w:tcPr>
          <w:p>
            <w:pPr>
              <w:spacing w:after="60" w:line="269" w:lineRule="auto"/>
            </w:pPr>
            <w:r>
              <w:rPr>
                <w:rFonts w:ascii="Arial" w:hAnsi="Arial"/>
                <w:b w:val="0"/>
                <w:color w:val="18233F"/>
                <w:sz w:val="20"/>
              </w:rPr>
              <w:t>Protect pupil operation and thinking; support handling only where needed. Ask what changed and what stayed the same before supplying a scientific word.</w:t>
            </w:r>
          </w:p>
        </w:tc>
      </w:tr>
      <w:tr>
        <w:trPr>
          <w:cantSplit/>
        </w:trPr>
        <w:tc>
          <w:tcPr>
            <w:tcW w:type="dxa" w:w="3288"/>
            <w:vAlign w:val="top"/>
            <w:shd w:fill="FFFFFF"/>
          </w:tcPr>
          <w:p>
            <w:pPr>
              <w:spacing w:after="60" w:line="269" w:lineRule="auto"/>
            </w:pPr>
            <w:r>
              <w:rPr>
                <w:rFonts w:ascii="Arial" w:hAnsi="Arial"/>
                <w:b w:val="0"/>
                <w:color w:val="18233F"/>
                <w:sz w:val="20"/>
              </w:rPr>
              <w:t>Independent · 15 min</w:t>
            </w:r>
          </w:p>
        </w:tc>
        <w:tc>
          <w:tcPr>
            <w:tcW w:type="dxa" w:w="3288"/>
            <w:vAlign w:val="top"/>
            <w:shd w:fill="FFFFFF"/>
          </w:tcPr>
          <w:p>
            <w:pPr>
              <w:spacing w:after="60" w:line="269" w:lineRule="auto"/>
            </w:pPr>
            <w:r>
              <w:rPr>
                <w:rFonts w:ascii="Arial" w:hAnsi="Arial"/>
                <w:b w:val="0"/>
                <w:color w:val="18233F"/>
                <w:sz w:val="20"/>
              </w:rPr>
              <w:t>Carry out or direct the non-core fruit-DNA extraction, record the result and evaluate the evidence. Record: An ordered method, precise observation, DNA/chromosome/gene connection and one valid evaluation point.</w:t>
            </w:r>
          </w:p>
        </w:tc>
        <w:tc>
          <w:tcPr>
            <w:tcW w:type="dxa" w:w="3288"/>
            <w:vAlign w:val="top"/>
            <w:shd w:fill="FFFFFF"/>
          </w:tcPr>
          <w:p>
            <w:pPr>
              <w:spacing w:after="60" w:line="269" w:lineRule="auto"/>
            </w:pPr>
            <w:r>
              <w:rPr>
                <w:rFonts w:ascii="Arial" w:hAnsi="Arial"/>
                <w:b w:val="0"/>
                <w:color w:val="18233F"/>
                <w:sz w:val="20"/>
              </w:rPr>
              <w:t>Protect independence. Accept equivalent evidence routes and scribe exact meaning. Prompt only as much as needed; fade as soon as the pupil continues.</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Why is 'DNA-containing precipitate' better than 'pure DNA'? Point to, read or explain the evidence you made.</w:t>
            </w:r>
          </w:p>
        </w:tc>
        <w:tc>
          <w:tcPr>
            <w:tcW w:type="dxa" w:w="3288"/>
            <w:vAlign w:val="top"/>
            <w:shd w:fill="F1F5F6"/>
          </w:tcPr>
          <w:p>
            <w:pPr>
              <w:spacing w:after="60" w:line="269" w:lineRule="auto"/>
            </w:pPr>
            <w:r>
              <w:rPr>
                <w:rFonts w:ascii="Arial" w:hAnsi="Arial"/>
                <w:b w:val="0"/>
                <w:color w:val="18233F"/>
                <w:sz w:val="20"/>
              </w:rPr>
              <w:t>Genuinely receive one final response and name back the Science heard or seen. Give one next move; the pupil edits or re-attempts on the existing work.</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Hinge answer: To disrupt cell and nuclear membranes so DNA can be released.</w:t>
      </w:r>
    </w:p>
    <w:p>
      <w:r>
        <w:t>Yes. Detergent disrupts lipid membranes, helping release cell contents including DNA.</w:t>
      </w:r>
    </w:p>
    <w:p>
      <w:pPr>
        <w:pStyle w:val="Heading2"/>
      </w:pPr>
      <w:r>
        <w:t>Misconception repair</w:t>
      </w:r>
    </w:p>
    <w:p>
      <w:r>
        <w:t>Repaired. The result is DNA-containing precipitate, not purified DNA or a visible individual gene.</w:t>
      </w:r>
    </w:p>
    <w:p>
      <w:pPr>
        <w:pStyle w:val="Heading2"/>
      </w:pPr>
      <w:r>
        <w:t>Guided checkpoint</w:t>
      </w:r>
    </w:p>
    <w:p>
      <w:r>
        <w:t>Yes. Detergent disrupts lipid membranes, helping release cell contents including DNA. Think about the barriers around the cell and nucleus.</w:t>
      </w:r>
    </w:p>
    <w:p>
      <w:pPr>
        <w:pStyle w:val="Heading2"/>
      </w:pPr>
      <w:r>
        <w:t>White strands</w:t>
      </w:r>
    </w:p>
    <w:p>
      <w:r>
        <w:t>DIRECT OBSERVATION. Observation: this records what was seen without identifying purity. Ask whether the senses recorded this directly.</w:t>
      </w:r>
    </w:p>
    <w:p>
      <w:pPr>
        <w:pStyle w:val="Heading2"/>
      </w:pPr>
      <w:r>
        <w:t>DNA-containing material</w:t>
      </w:r>
    </w:p>
    <w:p>
      <w:r>
        <w:t>SCIENTIFIC INFERENCE. Inference: this connects method knowledge to the observation. Ask whether this conclusion uses scientific knowledge as well as sight.</w:t>
      </w:r>
    </w:p>
    <w:p>
      <w:pPr>
        <w:pStyle w:val="Heading2"/>
      </w:pPr>
      <w:r>
        <w:t>Purity unknown</w:t>
      </w:r>
    </w:p>
    <w:p>
      <w:r>
        <w:t>METHOD LIMITATION. Limitation: appearance alone does not establish purity. Ask what the method cannot establish from appearance.</w:t>
      </w:r>
    </w:p>
    <w:p>
      <w:pPr>
        <w:pStyle w:val="Heading2"/>
      </w:pPr>
      <w:r>
        <w:t>Model limitation</w:t>
      </w:r>
    </w:p>
    <w:p>
      <w:r>
        <w:t>The precipitate is not purified DNA, yield is not measured accurately by appearance and the activity cannot show a gene, base pair or double helix directly.</w:t>
      </w:r>
    </w:p>
    <w:p>
      <w:pPr>
        <w:pStyle w:val="Heading2"/>
      </w:pPr>
      <w:r>
        <w:t>Independent evidence</w:t>
      </w:r>
    </w:p>
    <w:p>
      <w:r>
        <w:t>An ordered method, precise observation, DNA/chromosome/gene connection and one valid evaluation point.</w:t>
      </w:r>
    </w:p>
    <w:p>
      <w:r>
        <w:t>Supported: Order four method pictures, select the observed result and complete one limitation sentence. Use release, filter, precipitate and not pure. An adult handles all materials.</w:t>
      </w:r>
    </w:p>
    <w:p>
      <w:r>
        <w:t>Standard: Record method and observation, explain two reagent/separation roles and evaluate one limitation. Use Observation → Inference → Limitation headings.</w:t>
      </w:r>
    </w:p>
    <w:p>
      <w:r>
        <w:t>Stretch: Compare practical/parity outcomes, identify variables that affect visible yield and propose one fair improvement. Do not claim molecular identity or purity; no Higher-tier analytical chemistry is needed.</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7A5C9E"/>
          </w:tcPr>
          <w:p>
            <w:pPr>
              <w:spacing w:after="60" w:line="269" w:lineRule="auto"/>
            </w:pPr>
            <w:r>
              <w:rPr>
                <w:rFonts w:ascii="Arial" w:hAnsi="Arial"/>
                <w:b/>
                <w:color w:val="FFFFFF"/>
                <w:sz w:val="21"/>
              </w:rPr>
              <w:t>What the learner actually showed</w:t>
            </w:r>
          </w:p>
        </w:tc>
        <w:tc>
          <w:tcPr>
            <w:tcW w:type="dxa" w:w="4932"/>
            <w:vAlign w:val="top"/>
            <w:shd w:fill="7A5C9E"/>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SCI_L_W12L3_Fruit_DNA_Evidence_Do.html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W12L3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7A5C9E"/>
        <w:sz w:val="18"/>
      </w:rPr>
      <w:t>LAUNCH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7A5C9E"/>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7A5C9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7A5C9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7A5C9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