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 Conditions: Triangulate Source Evidence</w:t>
      </w:r>
    </w:p>
    <w:p>
      <w:pPr>
        <w:pStyle w:val="Subtitle"/>
      </w:pPr>
      <w:r>
        <w:t>LAUNCH · Science · 40 minutes</w:t>
      </w:r>
    </w:p>
    <w:p>
      <w:r>
        <w:t>I can compare school-approved sources, extract evidence relevant to my question, and record agreement, difference and uncertainty without copying or overclaiming.</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Prepare the approved local source set and privacy-safe access routes; keep the 1BI0 Foundation decision central.</w:t>
      </w:r>
    </w:p>
    <w:p>
      <w:r>
        <w:t>Keep optional IGCSE depth staff-directed and separate from the core class route; do not use legacy 4SS0 framing.</w:t>
      </w:r>
    </w:p>
    <w:p>
      <w:r>
        <w:t>Staff preview Keep the 1BI0 Foundation explanation, approved local source set, privacy boundary and learner-authored evidence decision central. Optional IGCSE depth remains staff-directed.</w:t>
      </w:r>
    </w:p>
    <w:p>
      <w:r>
        <w:t>Staff qualification / truth boundary Core teaching anchor: Edexcel GCSE Biology 1BI0 Foundation / Combined Science 1SC0 Foundation. IGCSE stretch remains optional for eligible pupils. No diagnosis, advice or personal disclosure. The SoW cell adds no unit, code, criterion or level. This lesson imports none of those as new criteria. Staff-only stretch: eligible pupils may use approved 4BI1/4CH1/4PH1 depth. It never governs the core class route. Legacy 4SS0 framing is not the governing route.</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Retrieve the W14L1 question. Highlight the key concept, not the name of a person or any personal detail.</w:t>
            </w:r>
          </w:p>
        </w:tc>
        <w:tc>
          <w:tcPr>
            <w:tcW w:type="dxa" w:w="3288"/>
            <w:vAlign w:val="top"/>
            <w:shd w:fill="FFFFFF"/>
          </w:tcPr>
          <w:p>
            <w:pPr>
              <w:spacing w:after="60" w:line="269" w:lineRule="auto"/>
            </w:pPr>
            <w:r>
              <w:rPr>
                <w:rFonts w:ascii="Arial" w:hAnsi="Arial"/>
                <w:b w:val="0"/>
                <w:color w:val="18233F"/>
                <w:sz w:val="20"/>
              </w:rPr>
              <w:t>Offer private retrieval, pointing and a pass-and-return route; never request personal or family information. Change modality, density or number of choices before increasing prompting.</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Two sources can both be credible yet emphasise different evidence. Predict one reason: audience, purpose, date, evidence base or scope.</w:t>
            </w:r>
          </w:p>
        </w:tc>
        <w:tc>
          <w:tcPr>
            <w:tcW w:type="dxa" w:w="3288"/>
            <w:vAlign w:val="top"/>
            <w:shd w:fill="F1F5F6"/>
          </w:tcPr>
          <w:p>
            <w:pPr>
              <w:spacing w:after="60" w:line="269" w:lineRule="auto"/>
            </w:pPr>
            <w:r>
              <w:rPr>
                <w:rFonts w:ascii="Arial" w:hAnsi="Arial"/>
                <w:b w:val="0"/>
                <w:color w:val="18233F"/>
                <w:sz w:val="20"/>
              </w:rPr>
              <w:t>Receive a first decision before feedback; keep it visible for revision. Ask for the source or boundary clue, not confidence or personal experience.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Source evidence sorter Choose a note you took, then what it is. Read for the research question; do not copy a whole paragraph.</w:t>
            </w:r>
          </w:p>
        </w:tc>
        <w:tc>
          <w:tcPr>
            <w:tcW w:type="dxa" w:w="3288"/>
            <w:vAlign w:val="top"/>
            <w:shd w:fill="FFFFFF"/>
          </w:tcPr>
          <w:p>
            <w:pPr>
              <w:spacing w:after="60" w:line="269" w:lineRule="auto"/>
            </w:pPr>
            <w:r>
              <w:rPr>
                <w:rFonts w:ascii="Arial" w:hAnsi="Arial"/>
                <w:b w:val="0"/>
                <w:color w:val="18233F"/>
                <w:sz w:val="20"/>
              </w:rPr>
              <w:t>Model a neutral teacher-approved example; do not invent a learner biography, diagnosis or completed evidence. Name question, evidence, reasoning and limit as separate moves.</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Classify each note, then decide how the classification changes the wording of the final claim. Established evidence Both approved sources explain the same relevant biology and provide a traceable basis for the bounded statement.</w:t>
            </w:r>
          </w:p>
        </w:tc>
        <w:tc>
          <w:tcPr>
            <w:tcW w:type="dxa" w:w="3288"/>
            <w:vAlign w:val="top"/>
            <w:shd w:fill="F1F5F6"/>
          </w:tcPr>
          <w:p>
            <w:pPr>
              <w:spacing w:after="60" w:line="269" w:lineRule="auto"/>
            </w:pPr>
            <w:r>
              <w:rPr>
                <w:rFonts w:ascii="Arial" w:hAnsi="Arial"/>
                <w:b w:val="0"/>
                <w:color w:val="18233F"/>
                <w:sz w:val="20"/>
              </w:rPr>
              <w:t>Give private think time before receiving a spoken, pointed or written choice. Ask what evidence or boundary clue changes the claim.</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Paraphrase accurately and keep the source locator. Use “may”, “can” or a probability statement where evidence is not deterministic.</w:t>
            </w:r>
          </w:p>
        </w:tc>
        <w:tc>
          <w:tcPr>
            <w:tcW w:type="dxa" w:w="3288"/>
            <w:vAlign w:val="top"/>
            <w:shd w:fill="FFFFFF"/>
          </w:tcPr>
          <w:p>
            <w:pPr>
              <w:spacing w:after="60" w:line="269" w:lineRule="auto"/>
            </w:pPr>
            <w:r>
              <w:rPr>
                <w:rFonts w:ascii="Arial" w:hAnsi="Arial"/>
                <w:b w:val="0"/>
                <w:color w:val="18233F"/>
                <w:sz w:val="20"/>
              </w:rPr>
              <w:t>Keep diagnosis, advice, personal data and unsupported certainty outside the model. Model a repair or an honest hold when the source set cannot answer.</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1 · Locate Place each paraphrased idea beside publisher, date, purpose and local locator. 2 · Connect Draw a line from each idea to the exact part of the research question it supports.</w:t>
            </w:r>
          </w:p>
        </w:tc>
        <w:tc>
          <w:tcPr>
            <w:tcW w:type="dxa" w:w="3288"/>
            <w:vAlign w:val="top"/>
            <w:shd w:fill="F1F5F6"/>
          </w:tcPr>
          <w:p>
            <w:pPr>
              <w:spacing w:after="60" w:line="269" w:lineRule="auto"/>
            </w:pPr>
            <w:r>
              <w:rPr>
                <w:rFonts w:ascii="Arial" w:hAnsi="Arial"/>
                <w:b w:val="0"/>
                <w:color w:val="18233F"/>
                <w:sz w:val="20"/>
              </w:rPr>
              <w:t>Let the learner operate or direct the shared source map. Use the explanation to select the lightest independent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Complete a two-source evidence matrix for the teacher-approved condition. Record source identity, relevant evidence, agreement, difference, uncertainty and a respectful-language check.</w:t>
            </w:r>
          </w:p>
        </w:tc>
        <w:tc>
          <w:tcPr>
            <w:tcW w:type="dxa" w:w="3288"/>
            <w:vAlign w:val="top"/>
            <w:shd w:fill="FFFFFF"/>
          </w:tcPr>
          <w:p>
            <w:pPr>
              <w:spacing w:after="60" w:line="269" w:lineRule="auto"/>
            </w:pPr>
            <w:r>
              <w:rPr>
                <w:rFonts w:ascii="Arial" w:hAnsi="Arial"/>
                <w:b w:val="0"/>
                <w:color w:val="18233F"/>
                <w:sz w:val="20"/>
              </w:rPr>
              <w:t>Use least-prompt-first and keep exact-word scribing visibly adult-supported. Capture only genuine learner decisions and meaning; the HTML stores nothing.</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Read or show the bounded paragraph privately and name the word or phrase that prevents overclaiming. Agreement Point to the sentence supported by both approved sources and name both locators.</w:t>
            </w:r>
          </w:p>
        </w:tc>
        <w:tc>
          <w:tcPr>
            <w:tcW w:type="dxa" w:w="3288"/>
            <w:vAlign w:val="top"/>
            <w:shd w:fill="F1F5F6"/>
          </w:tcPr>
          <w:p>
            <w:pPr>
              <w:spacing w:after="60" w:line="269" w:lineRule="auto"/>
            </w:pPr>
            <w:r>
              <w:rPr>
                <w:rFonts w:ascii="Arial" w:hAnsi="Arial"/>
                <w:b w:val="0"/>
                <w:color w:val="18233F"/>
                <w:sz w:val="20"/>
              </w:rPr>
              <w:t>Receive the learner's evidence and limit; do not upgrade either. Name the receiving role and the next report-back point.</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Different intended audiences</w:t>
      </w:r>
    </w:p>
    <w:p>
      <w:r>
        <w:t>Useful: different audiences can change explanation depth and vocabulary without making either source automatically false.</w:t>
      </w:r>
    </w:p>
    <w:p>
      <w:pPr>
        <w:pStyle w:val="Heading2"/>
      </w:pPr>
      <w:r>
        <w:t>Different purpose or evidence base</w:t>
      </w:r>
    </w:p>
    <w:p>
      <w:r>
        <w:t>Useful: a summary and a research report may use different evidence depth and make differently bounded claims.</w:t>
      </w:r>
    </w:p>
    <w:p>
      <w:pPr>
        <w:pStyle w:val="Heading2"/>
      </w:pPr>
      <w:r>
        <w:t>One page looks more polished</w:t>
      </w:r>
    </w:p>
    <w:p>
      <w:r>
        <w:t>Not enough: visual polish does not establish relevance, evidence or scientific care.</w:t>
      </w:r>
    </w:p>
    <w:p>
      <w:pPr>
        <w:pStyle w:val="Heading2"/>
      </w:pPr>
      <w:r>
        <w:t>1 · agreement</w:t>
      </w:r>
    </w:p>
    <w:p>
      <w:r>
        <w:t>Agreement: both sources support the same bounded inheritance idea, so it can be stated with both locators.</w:t>
      </w:r>
    </w:p>
    <w:p>
      <w:pPr>
        <w:pStyle w:val="Heading2"/>
      </w:pPr>
      <w:r>
        <w:t>2 · difference</w:t>
      </w:r>
    </w:p>
    <w:p>
      <w:r>
        <w:t>Difference: one source changes emphasis or scope. Record the difference before deciding whether it affects the claim.</w:t>
      </w:r>
    </w:p>
    <w:p>
      <w:pPr>
        <w:pStyle w:val="Heading2"/>
      </w:pPr>
      <w:r>
        <w:t>3 · uncertainty</w:t>
      </w:r>
    </w:p>
    <w:p>
      <w:r>
        <w:t>Uncertainty: the source set cannot settle this point. Keep the gap visible and avoid a stronger sentence.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SCI_L_W14L2_Genetic_Condition_Source_Evidence_Explore.html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SCI_L_W14L2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