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 Conditions: Present Evidence with Care</w:t>
      </w:r>
    </w:p>
    <w:p>
      <w:pPr>
        <w:pStyle w:val="Subtitle"/>
      </w:pPr>
      <w:r>
        <w:t>LAUNCH · Science · 40 minutes</w:t>
      </w:r>
    </w:p>
    <w:p>
      <w:r>
        <w:t>I can present an evidence-led explanation of a teacher-approved genetic condition, credit sources, preserve uncertainty and respond to one audience question safely.</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Prepare the approved local source set and privacy-safe access routes; keep the 1BI0 Foundation decision central.</w:t>
      </w:r>
    </w:p>
    <w:p>
      <w:r>
        <w:t>Keep optional IGCSE depth staff-directed and separate from the core class route; do not use legacy 4SS0 framing.</w:t>
      </w:r>
    </w:p>
    <w:p>
      <w:r>
        <w:t>Staff preview Keep the 1BI0 Foundation explanation, approved local source set, privacy boundary and learner-authored evidence decision central. Optional IGCSE depth remains staff-directed.</w:t>
      </w:r>
    </w:p>
    <w:p>
      <w:r>
        <w:t>Staff qualification / truth boundary Core teaching anchor: Edexcel GCSE Biology 1BI0 Foundation / Combined Science 1SC0 Foundation. IGCSE 4BI1/4CH1/4PH1 is optional stretch for eligible pupils only. No diagnosis or medical advice. The SoW cell adds no unit, code, criterion or level. This lesson imports none of those as new criteria. Staff-only stretch: eligible pupils may use approved 4BI1/4CH1/4PH1 depth. It never governs the core class route. Legacy 4SS0 framing is not the governing route.</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Choose the delivery route before editing: written display, narrated slides, approved recording, or private explanation to a trusted adult. Question Carry the exact bounded W14L1 question.</w:t>
            </w:r>
          </w:p>
        </w:tc>
        <w:tc>
          <w:tcPr>
            <w:tcW w:type="dxa" w:w="3288"/>
            <w:vAlign w:val="top"/>
            <w:shd w:fill="FFFFFF"/>
          </w:tcPr>
          <w:p>
            <w:pPr>
              <w:spacing w:after="60" w:line="269" w:lineRule="auto"/>
            </w:pPr>
            <w:r>
              <w:rPr>
                <w:rFonts w:ascii="Arial" w:hAnsi="Arial"/>
                <w:b w:val="0"/>
                <w:color w:val="18233F"/>
                <w:sz w:val="20"/>
              </w:rPr>
              <w:t>Offer private retrieval, pointing and a pass-and-return route; never request personal or family information. Change modality, density or number of choices before increasing prompting.</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Find the overclaim in a sample ending that treats inheritance probability as certainty. Replace it with bounded wording.</w:t>
            </w:r>
          </w:p>
        </w:tc>
        <w:tc>
          <w:tcPr>
            <w:tcW w:type="dxa" w:w="3288"/>
            <w:vAlign w:val="top"/>
            <w:shd w:fill="F1F5F6"/>
          </w:tcPr>
          <w:p>
            <w:pPr>
              <w:spacing w:after="60" w:line="269" w:lineRule="auto"/>
            </w:pPr>
            <w:r>
              <w:rPr>
                <w:rFonts w:ascii="Arial" w:hAnsi="Arial"/>
                <w:b w:val="0"/>
                <w:color w:val="18233F"/>
                <w:sz w:val="20"/>
              </w:rPr>
              <w:t>Receive a first decision before feedback; keep it visible for revision. Ask for the source or boundary clue, not confidence or personal experience.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Presentation line checker Choose a line from a draft presentation, then judge it. Frames 3–4: source evidence, variation/uncertainty, credits and a no-advice boundary.</w:t>
            </w:r>
          </w:p>
        </w:tc>
        <w:tc>
          <w:tcPr>
            <w:tcW w:type="dxa" w:w="3288"/>
            <w:vAlign w:val="top"/>
            <w:shd w:fill="FFFFFF"/>
          </w:tcPr>
          <w:p>
            <w:pPr>
              <w:spacing w:after="60" w:line="269" w:lineRule="auto"/>
            </w:pPr>
            <w:r>
              <w:rPr>
                <w:rFonts w:ascii="Arial" w:hAnsi="Arial"/>
                <w:b w:val="0"/>
                <w:color w:val="18233F"/>
                <w:sz w:val="20"/>
              </w:rPr>
              <w:t>Model a neutral teacher-approved example; do not invent a learner biography, diagnosis or completed evidence. Name question, evidence, reasoning and limit as separate moves.</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Choose one question the evidence can answer and one that must be held for a qualified professional or a better source. Answer Use the matrix when the question is within C44 and the approved evidence supports a bounded response.</w:t>
            </w:r>
          </w:p>
        </w:tc>
        <w:tc>
          <w:tcPr>
            <w:tcW w:type="dxa" w:w="3288"/>
            <w:vAlign w:val="top"/>
            <w:shd w:fill="F1F5F6"/>
          </w:tcPr>
          <w:p>
            <w:pPr>
              <w:spacing w:after="60" w:line="269" w:lineRule="auto"/>
            </w:pPr>
            <w:r>
              <w:rPr>
                <w:rFonts w:ascii="Arial" w:hAnsi="Arial"/>
                <w:b w:val="0"/>
                <w:color w:val="18233F"/>
                <w:sz w:val="20"/>
              </w:rPr>
              <w:t>Give private think time before receiving a spoken, pointed or written choice. Ask what evidence or boundary clue changes the claim.</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Receive the question without requiring public disclosure or immediate performance. Revise when the evidence supports a clearer or more accurate statement.</w:t>
            </w:r>
          </w:p>
        </w:tc>
        <w:tc>
          <w:tcPr>
            <w:tcW w:type="dxa" w:w="3288"/>
            <w:vAlign w:val="top"/>
            <w:shd w:fill="FFFFFF"/>
          </w:tcPr>
          <w:p>
            <w:pPr>
              <w:spacing w:after="60" w:line="269" w:lineRule="auto"/>
            </w:pPr>
            <w:r>
              <w:rPr>
                <w:rFonts w:ascii="Arial" w:hAnsi="Arial"/>
                <w:b w:val="0"/>
                <w:color w:val="18233F"/>
                <w:sz w:val="20"/>
              </w:rPr>
              <w:t>Keep diagnosis, advice, personal data and unsupported certainty outside the model. Model a repair or an honest hold when the source set cannot answer.</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1 · Locate Point to the exact slide, card or sentence where each source is credited. 2 · Connect Explain how one source finding supports the bounded inheritance statement.</w:t>
            </w:r>
          </w:p>
        </w:tc>
        <w:tc>
          <w:tcPr>
            <w:tcW w:type="dxa" w:w="3288"/>
            <w:vAlign w:val="top"/>
            <w:shd w:fill="F1F5F6"/>
          </w:tcPr>
          <w:p>
            <w:pPr>
              <w:spacing w:after="60" w:line="269" w:lineRule="auto"/>
            </w:pPr>
            <w:r>
              <w:rPr>
                <w:rFonts w:ascii="Arial" w:hAnsi="Arial"/>
                <w:b w:val="0"/>
                <w:color w:val="18233F"/>
                <w:sz w:val="20"/>
              </w:rPr>
              <w:t>Let the learner operate or direct the shared source map. Use the explanation to select the lightest independent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Create and deliver the presentation through the agreed private or small-audience route. Include the question, inheritance explanation, two credited source findings, variation/uncertainty and the boundary.</w:t>
            </w:r>
          </w:p>
        </w:tc>
        <w:tc>
          <w:tcPr>
            <w:tcW w:type="dxa" w:w="3288"/>
            <w:vAlign w:val="top"/>
            <w:shd w:fill="FFFFFF"/>
          </w:tcPr>
          <w:p>
            <w:pPr>
              <w:spacing w:after="60" w:line="269" w:lineRule="auto"/>
            </w:pPr>
            <w:r>
              <w:rPr>
                <w:rFonts w:ascii="Arial" w:hAnsi="Arial"/>
                <w:b w:val="0"/>
                <w:color w:val="18233F"/>
                <w:sz w:val="20"/>
              </w:rPr>
              <w:t>Use least-prompt-first and keep exact-word scribing visibly adult-supported. Capture only genuine learner decisions and meaning; the HTML stores nothing.</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Complete: 'The evidence supports…; it cannot predict…; the audience asked…; I revised/held because…'. Evidence link Name one supported inheritance statement and the two approved locators that underpin it.</w:t>
            </w:r>
          </w:p>
        </w:tc>
        <w:tc>
          <w:tcPr>
            <w:tcW w:type="dxa" w:w="3288"/>
            <w:vAlign w:val="top"/>
            <w:shd w:fill="F1F5F6"/>
          </w:tcPr>
          <w:p>
            <w:pPr>
              <w:spacing w:after="60" w:line="269" w:lineRule="auto"/>
            </w:pPr>
            <w:r>
              <w:rPr>
                <w:rFonts w:ascii="Arial" w:hAnsi="Arial"/>
                <w:b w:val="0"/>
                <w:color w:val="18233F"/>
                <w:sz w:val="20"/>
              </w:rPr>
              <w:t>Receive the learner's evidence and limit; do not upgrade either. Name the receiving role and the next report-back point.</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“The sources guarantee what will happen to every person.”</w:t>
      </w:r>
    </w:p>
    <w:p>
      <w:r>
        <w:t>Repair: inherited allele combinations can affect probability, but the sources do not guarantee one person's outcome.</w:t>
      </w:r>
    </w:p>
    <w:p>
      <w:pPr>
        <w:pStyle w:val="Heading2"/>
      </w:pPr>
      <w:r>
        <w:t>“The sources explain an inherited pattern but cannot predict one person's experience.”</w:t>
      </w:r>
    </w:p>
    <w:p>
      <w:r>
        <w:t>Bounded: this separates what the sources support from what they cannot predict for an individual.</w:t>
      </w:r>
    </w:p>
    <w:p>
      <w:pPr>
        <w:pStyle w:val="Heading2"/>
      </w:pPr>
      <w:r>
        <w:t>“The presentation can tell someone what treatment to choose.”</w:t>
      </w:r>
    </w:p>
    <w:p>
      <w:r>
        <w:t>Outside the task: a classroom presentation cannot diagnose or recommend treatment.</w:t>
      </w:r>
    </w:p>
    <w:p>
      <w:pPr>
        <w:pStyle w:val="Heading2"/>
      </w:pPr>
      <w:r>
        <w:t>1 · What inherited biology do the sources explain?</w:t>
      </w:r>
    </w:p>
    <w:p>
      <w:r>
        <w:t>Answerable: the presentation can explain the bounded inheritance idea using the approved source trail.</w:t>
      </w:r>
    </w:p>
    <w:p>
      <w:pPr>
        <w:pStyle w:val="Heading2"/>
      </w:pPr>
      <w:r>
        <w:t>2 · Does a named person have the condition?</w:t>
      </w:r>
    </w:p>
    <w:p>
      <w:r>
        <w:t>Hold: a classroom source set cannot diagnose an individual or interpret personal test information.</w:t>
      </w:r>
    </w:p>
    <w:p>
      <w:pPr>
        <w:pStyle w:val="Heading2"/>
      </w:pPr>
      <w:r>
        <w:t>3 · Where do the sources agree or differ?</w:t>
      </w:r>
    </w:p>
    <w:p>
      <w:r>
        <w:t>Answerable when bounded: compare how the approved sources describe variation and uncertainty.</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SCI_L_W14L3_Genetic_Condition_Presentation_Do.html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SCI_L_W14L3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