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 BUILD · Autumn 2</w:t>
      </w:r>
    </w:p>
    <w:p>
      <w:r>
        <w:rPr>
          <w:b/>
        </w:rPr>
        <w:t xml:space="preserve">What we teach and why — </w:t>
      </w:r>
      <w:r>
        <w:t>Rocks (properties &amp; grouping). Enquiry: How can we use observations and evidence to explain rocks? Science develops explanations of the natural world, safe investigation, measurement and critical use of evidence, helping pupils make informed decisions about health, materials and the environment.</w:t>
      </w:r>
    </w:p>
    <w:p>
      <w:r>
        <w:rPr>
          <w:b/>
        </w:rPr>
        <w:t xml:space="preserve">Weekly outcomes — </w:t>
      </w:r>
      <w:r>
        <w:t>W01: Describe how we can care for our environment: reduce, reuse and recycle (sustainability).</w:t>
        <w:br/>
        <w:t>W02: Compare and group rocks by their appearance and simple properties.</w:t>
        <w:br/>
        <w:t>W03: Test rocks for hardness and whether they let water through.</w:t>
        <w:br/>
        <w:t>W04: Identify everyday uses of different rocks (links D&amp;T / Construction).</w:t>
        <w:br/>
        <w:t>W05: Group natural and human-made materials; record results in a table (ICT).</w:t>
        <w:br/>
        <w:t>W06: Plan and carry out a simple fair test on rocks.</w:t>
        <w:br/>
        <w:t>W07: Review and evidence learning on skeletons, nutrition &amp; rocks (Entry Level Science / UAS).</w:t>
      </w:r>
    </w:p>
    <w:p>
      <w:r>
        <w:rPr>
          <w:b/>
        </w:rPr>
        <w:t xml:space="preserve">Why it is right for our pupils — </w:t>
      </w:r>
      <w:r>
        <w:t>For pupils not yet consistently available for formal learning. Nurture, co-regulation, visual support and short learning episodes build access. The policy’s indicative reading profile is typically below 8 where measurable; placement is a reviewed professional judgement, not a reading-age rule. Predictable routine, an early achievable task, response-mode choice, no cold calling and a quiet alternative support re-engagement.</w:t>
      </w:r>
    </w:p>
    <w:p>
      <w:r>
        <w:rPr>
          <w:b/>
        </w:rPr>
        <w:t xml:space="preserve">Qualification and entry — </w:t>
      </w:r>
      <w:r>
        <w:t>White Rose Science Year 3–6, diagnostic-led with Year 1–2 gap-fill only, and age-appropriate contexts. The SoW identifies an introduction towards Entry Level Science 8939 and AQA UAS. Supported observations, sorting and simple tests. Any formal Entry Level registration or selected UAS unit: staff to confirm. Wider pathway: AQA Unit Awards; ASDAN Life Skills; Trinity Arts Award Discover/Explore. These recognise small steps and participation where the selected award criteria are actually met. Exact individual entry/unit is for staff to confirm.</w:t>
      </w:r>
    </w:p>
    <w:p>
      <w:r>
        <w:rPr>
          <w:b/>
        </w:rPr>
        <w:t xml:space="preserve">Why this route — </w:t>
      </w:r>
      <w:r>
        <w:t>Small, evidenced achievements make success visible and give a manageable next step without waiting for exam readiness.</w:t>
      </w:r>
    </w:p>
    <w:p>
      <w:r>
        <w:rPr>
          <w:b/>
        </w:rPr>
        <w:t xml:space="preserve">Next step — </w:t>
      </w:r>
      <w:r>
        <w:t>Communication, turn-taking, self-care, safe choices and awareness of work roles support greater independence, community participation and readiness for GROW. Gatsby 4: connect today’s subject skills with relevant work and further-study roles.</w:t>
      </w:r>
    </w:p>
    <w:p>
      <w:r>
        <w:rPr>
          <w:b/>
        </w:rPr>
        <w:t xml:space="preserve">Evidence of impact — </w:t>
      </w:r>
      <w:r>
        <w:t>F: testing &amp; recording checks.  S: rocks investigation write-up (Dec) + Entry Level/UAS. Books and staff observation capture the actual individual contribution, support and response to feedback. Feed attendance/engagement, behaviour, qualifications and destinations measures as categories; no figures or impact claims are supplied.</w:t>
      </w:r>
    </w:p>
    <w:p>
      <w:r>
        <w:rPr>
          <w:b/>
        </w:rPr>
        <w:t xml:space="preserve">The progression chain — </w:t>
      </w:r>
      <w:r>
        <w:t>Re-engage: predictable access and early success. Attendance and engagement: build and review participation. Meaningful qualifications: map actual evidence to confirmed criteria. Skills for adulthood: practise safe choices, communication and independence. Positive destinations: connect learning to an appropriate next step. Reduce NEET: sustain participation in education, employment or training through reviewed transition support.</w:t>
      </w:r>
    </w:p>
    <w:p>
      <w:r>
        <w:t>Sources: curriculum pathway guidance and the unit and weekly plans supplied for this series.</w:t>
      </w:r>
    </w:p>
    <w:sectPr w:rsidR="00FC693F" w:rsidRPr="0006063C" w:rsidSect="00034616">
      <w:headerReference w:type="default" r:id="rId9"/>
      <w:footerReference w:type="default" r:id="rId10"/>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DejaVu Sans" w:hAnsi="DejaVu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