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5B" w:rsidRDefault="00B2375B">
      <w:r>
        <w:t xml:space="preserve">CURRENT EVIDENCE OBJECTS AVAILABLE FOR USE IN MODEL </w:t>
      </w:r>
    </w:p>
    <w:p w:rsidR="00B2375B" w:rsidRDefault="00B2375B"/>
    <w:p w:rsidR="00B2375B" w:rsidRDefault="00B2375B">
      <w:bookmarkStart w:id="0" w:name="_GoBack"/>
      <w:r>
        <w:t>____________________________________________</w:t>
      </w:r>
    </w:p>
    <w:p w:rsidR="00B2375B" w:rsidRDefault="00B2375B"/>
    <w:p w:rsidR="00B2375B" w:rsidRDefault="00B2375B">
      <w:r>
        <w:t>Title: Early progression proportion, Trauer et al. 2016</w:t>
      </w:r>
    </w:p>
    <w:p w:rsidR="00B2375B" w:rsidRDefault="00B2375B"/>
    <w:p w:rsidR="00B2375B" w:rsidRDefault="00B2375B">
      <w:r>
        <w:t>Point estimate: 0.125</w:t>
      </w:r>
    </w:p>
    <w:p w:rsidR="00B2375B" w:rsidRDefault="00B2375B"/>
    <w:p w:rsidR="00B2375B" w:rsidRDefault="00B2375B">
      <w:r>
        <w:t>Confidence interval: (0.096 - 0.154)</w:t>
      </w:r>
    </w:p>
    <w:p w:rsidR="00B2375B" w:rsidRDefault="00B2375B"/>
    <w:p w:rsidR="00B2375B" w:rsidRDefault="00B2375B">
      <w:r>
        <w:t xml:space="preserve">Explanation: Results describe 12.5% one year risk accruing over first 227 days. Confidence interval currently estimated. 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 in children, Trauer et al. 2016</w:t>
      </w:r>
    </w:p>
    <w:p w:rsidR="00B2375B" w:rsidRDefault="00B2375B"/>
    <w:p w:rsidR="00B2375B" w:rsidRDefault="00B2375B">
      <w:r>
        <w:t>Point estimate: 0.42</w:t>
      </w:r>
    </w:p>
    <w:p w:rsidR="00B2375B" w:rsidRDefault="00B2375B"/>
    <w:p w:rsidR="00B2375B" w:rsidRDefault="00B2375B">
      <w:r>
        <w:t>Confidence interval: (0.308 - 0.532)</w:t>
      </w:r>
    </w:p>
    <w:p w:rsidR="00B2375B" w:rsidRDefault="00B2375B"/>
    <w:p w:rsidR="00B2375B" w:rsidRDefault="00B2375B">
      <w:r>
        <w:t>Explanation: Estimated pooled results for both paediatric groups.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 in adults, Trauer et al. 2016</w:t>
      </w:r>
    </w:p>
    <w:p w:rsidR="00B2375B" w:rsidRDefault="00B2375B"/>
    <w:p w:rsidR="00B2375B" w:rsidRDefault="00B2375B">
      <w:r>
        <w:t>Point estimate: 0.024</w:t>
      </w:r>
    </w:p>
    <w:p w:rsidR="00B2375B" w:rsidRDefault="00B2375B"/>
    <w:p w:rsidR="00B2375B" w:rsidRDefault="00B2375B">
      <w:r>
        <w:t>Confidence interval: (0.009 - 0.0393)</w:t>
      </w:r>
    </w:p>
    <w:p w:rsidR="00B2375B" w:rsidRDefault="00B2375B"/>
    <w:p w:rsidR="00B2375B" w:rsidRDefault="00B2375B">
      <w:r>
        <w:t>Explanation: See comments for all-age evidence object.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proportion, Sloot et al. 2014</w:t>
      </w:r>
    </w:p>
    <w:p w:rsidR="00B2375B" w:rsidRDefault="00B2375B"/>
    <w:p w:rsidR="00B2375B" w:rsidRDefault="00B2375B">
      <w:r>
        <w:t>Point estimate: 0.095</w:t>
      </w:r>
    </w:p>
    <w:p w:rsidR="00B2375B" w:rsidRDefault="00B2375B"/>
    <w:p w:rsidR="00B2375B" w:rsidRDefault="00B2375B">
      <w:r>
        <w:t>Confidence interval: (0.074 - 0.116)</w:t>
      </w:r>
    </w:p>
    <w:p w:rsidR="00B2375B" w:rsidRDefault="00B2375B"/>
    <w:p w:rsidR="00B2375B" w:rsidRDefault="00B2375B">
      <w:r>
        <w:t>Explanation: From Figure 2, approximately 9 to 10% of the 739 contacts with evidence of infection developed active TB in the early high risk period, which lasted for around two years. Confidence interval estimated from graphs.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 in children, Sloot et al. 2014</w:t>
      </w:r>
    </w:p>
    <w:p w:rsidR="00B2375B" w:rsidRDefault="00B2375B"/>
    <w:p w:rsidR="00B2375B" w:rsidRDefault="00B2375B">
      <w:r>
        <w:t>Point estimate: 0.26</w:t>
      </w:r>
    </w:p>
    <w:p w:rsidR="00B2375B" w:rsidRDefault="00B2375B"/>
    <w:p w:rsidR="00B2375B" w:rsidRDefault="00B2375B">
      <w:r>
        <w:t>Confidence interval: (0.203 - 0.317)</w:t>
      </w:r>
    </w:p>
    <w:p w:rsidR="00B2375B" w:rsidRDefault="00B2375B"/>
    <w:p w:rsidR="00B2375B" w:rsidRDefault="00B2375B">
      <w:r>
        <w:t>Explanation: Estimated from Figure 3.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 in adults, Sloot et al. 2014</w:t>
      </w:r>
    </w:p>
    <w:p w:rsidR="00B2375B" w:rsidRDefault="00B2375B"/>
    <w:p w:rsidR="00B2375B" w:rsidRDefault="00B2375B">
      <w:r>
        <w:t>Point estimate: 0.07</w:t>
      </w:r>
    </w:p>
    <w:p w:rsidR="00B2375B" w:rsidRDefault="00B2375B"/>
    <w:p w:rsidR="00B2375B" w:rsidRDefault="00B2375B">
      <w:r>
        <w:t>Confidence interval: (0.055 - 0.085)</w:t>
      </w:r>
    </w:p>
    <w:p w:rsidR="00B2375B" w:rsidRDefault="00B2375B"/>
    <w:p w:rsidR="00B2375B" w:rsidRDefault="00B2375B">
      <w:r>
        <w:t>Explanation: Estimated from Figure 3.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progression proportion, Diel et al. 2011</w:t>
      </w:r>
    </w:p>
    <w:p w:rsidR="00B2375B" w:rsidRDefault="00B2375B"/>
    <w:p w:rsidR="00B2375B" w:rsidRDefault="00B2375B">
      <w:r>
        <w:t>Point estimate: 0.12925170068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Table 4: 19 of 147 untreated QFT-positive individuals got TBover two years of follow up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duration, Trauer et al. 2016</w:t>
      </w:r>
    </w:p>
    <w:p w:rsidR="00B2375B" w:rsidRDefault="00B2375B"/>
    <w:p w:rsidR="00B2375B" w:rsidRDefault="00B2375B">
      <w:r>
        <w:t>Point estimate: 0.416666666667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the text of our Results (first paragraph).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 in children, Trauer et al. 2016</w:t>
      </w:r>
    </w:p>
    <w:p w:rsidR="00B2375B" w:rsidRDefault="00B2375B"/>
    <w:p w:rsidR="00B2375B" w:rsidRDefault="00B2375B">
      <w:r>
        <w:t>Point estimate: 0.397260273973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the text of our Results (first paragraph).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 in adults, Trauer et al. 2016</w:t>
      </w:r>
    </w:p>
    <w:p w:rsidR="00B2375B" w:rsidRDefault="00B2375B"/>
    <w:p w:rsidR="00B2375B" w:rsidRDefault="00B2375B">
      <w:r>
        <w:t>Point estimate: 0.621917808219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the text of our Results (first paragraph).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duration, Sloot et al. 2014</w:t>
      </w:r>
    </w:p>
    <w:p w:rsidR="00B2375B" w:rsidRDefault="00B2375B"/>
    <w:p w:rsidR="00B2375B" w:rsidRDefault="00B2375B">
      <w:r>
        <w:t>Point estimate: 1.8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Figure 2, high risk period lasts about two years.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 in children, Sloot et al. 2014</w:t>
      </w:r>
    </w:p>
    <w:p w:rsidR="00B2375B" w:rsidRDefault="00B2375B"/>
    <w:p w:rsidR="00B2375B" w:rsidRDefault="00B2375B">
      <w:r>
        <w:t>Point estimate: 0.6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Figure 2, high risk period lasts about two years.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Early latent duration in adults, Sloot et al. 2014</w:t>
      </w:r>
    </w:p>
    <w:p w:rsidR="00B2375B" w:rsidRDefault="00B2375B"/>
    <w:p w:rsidR="00B2375B" w:rsidRDefault="00B2375B">
      <w:r>
        <w:t>Point estimate: 1.8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From Figure 2, high risk period lasts about two years.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Late progression rate, Horsburgh et al. 2010</w:t>
      </w:r>
    </w:p>
    <w:p w:rsidR="00B2375B" w:rsidRDefault="00B2375B"/>
    <w:p w:rsidR="00B2375B" w:rsidRDefault="00B2375B">
      <w:r>
        <w:t>Point estimate: 0.00058</w:t>
      </w:r>
    </w:p>
    <w:p w:rsidR="00B2375B" w:rsidRDefault="00B2375B"/>
    <w:p w:rsidR="00B2375B" w:rsidRDefault="00B2375B">
      <w:r>
        <w:t>Confidence interval: (0.00038 - 0.00089)</w:t>
      </w:r>
    </w:p>
    <w:p w:rsidR="00B2375B" w:rsidRDefault="00B2375B"/>
    <w:p w:rsidR="00B2375B" w:rsidRDefault="00B2375B">
      <w:r>
        <w:t>Explanation: Main finding is rate of reactivation of 0.04 per year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Relative risk of TB, Colditz et al. 1994</w:t>
      </w:r>
    </w:p>
    <w:p w:rsidR="00B2375B" w:rsidRDefault="00B2375B"/>
    <w:p w:rsidR="00B2375B" w:rsidRDefault="00B2375B">
      <w:r>
        <w:t>Point estimate: 0.49</w:t>
      </w:r>
    </w:p>
    <w:p w:rsidR="00B2375B" w:rsidRDefault="00B2375B"/>
    <w:p w:rsidR="00B2375B" w:rsidRDefault="00B2375B">
      <w:r>
        <w:t>Confidence interval: (0.34 - 0.7)</w:t>
      </w:r>
    </w:p>
    <w:p w:rsidR="00B2375B" w:rsidRDefault="00B2375B"/>
    <w:p w:rsidR="00B2375B" w:rsidRDefault="00B2375B">
      <w:r>
        <w:t xml:space="preserve">Explanation: Estimate of relative risk of TB in BCG vaccinated. 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Untreated duration, Tiemersma et al. 2011</w:t>
      </w:r>
    </w:p>
    <w:p w:rsidR="00B2375B" w:rsidRDefault="00B2375B"/>
    <w:p w:rsidR="00B2375B" w:rsidRDefault="00B2375B">
      <w:r>
        <w:t>Point estimate: 3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Estimate from pre-chemotherapy literature of three years untreated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Untreated case fatality, Tiemersma et al. 2011</w:t>
      </w:r>
    </w:p>
    <w:p w:rsidR="00B2375B" w:rsidRDefault="00B2375B"/>
    <w:p w:rsidR="00B2375B" w:rsidRDefault="00B2375B">
      <w:r>
        <w:t>Point estimate: 0.7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70% case fatality for smear-positive patients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Time to complete treatment for DS-TB based on WHO guidelines</w:t>
      </w:r>
    </w:p>
    <w:p w:rsidR="00B2375B" w:rsidRDefault="00B2375B"/>
    <w:p w:rsidR="00B2375B" w:rsidRDefault="00B2375B">
      <w:r>
        <w:t>Point estimate: 6.0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World Health Organization. Guidelines on the programmatic management of drug-resistant tuberculosis. Available at: http://apps.who.int/iris/bitstream/10665/44597/1/97892415101583_eng.pdf</w:t>
      </w:r>
    </w:p>
    <w:p w:rsidR="00B2375B" w:rsidRDefault="00B2375B"/>
    <w:p w:rsidR="00B2375B" w:rsidRDefault="00B2375B">
      <w:r>
        <w:t>____________________________________________</w:t>
      </w:r>
    </w:p>
    <w:p w:rsidR="00B2375B" w:rsidRDefault="00B2375B"/>
    <w:p w:rsidR="00B2375B" w:rsidRDefault="00B2375B">
      <w:r>
        <w:t>Title: Time to complete treatment for DS-TB based on WHO guidelines</w:t>
      </w:r>
    </w:p>
    <w:p w:rsidR="00B2375B" w:rsidRDefault="00B2375B"/>
    <w:p w:rsidR="00B2375B" w:rsidRDefault="00B2375B">
      <w:r>
        <w:t>Point estimate: 20.0</w:t>
      </w:r>
    </w:p>
    <w:p w:rsidR="00B2375B" w:rsidRDefault="00B2375B"/>
    <w:p w:rsidR="00B2375B" w:rsidRDefault="00B2375B">
      <w:r>
        <w:t>Confidence interval: No confidence interval available from study</w:t>
      </w:r>
    </w:p>
    <w:p w:rsidR="00B2375B" w:rsidRDefault="00B2375B"/>
    <w:p w:rsidR="00B2375B" w:rsidRDefault="00B2375B">
      <w:r>
        <w:t>Explanation: World Health Organization. Guidelines on the programmatic management of drug-resistant tuberculosis. Available at: http://apps.who.int/iris/bitstream/10665/44597/1/97892415101583_eng.pdf</w:t>
      </w:r>
    </w:p>
    <w:p w:rsidR="00B2375B" w:rsidRDefault="00B2375B"/>
    <w:bookmarkEnd w:id="0"/>
    <w:p w:rsidR="00546682" w:rsidRDefault="00546682"/>
    <w:sectPr w:rsidR="0054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5B"/>
    <w:rsid w:val="00546682"/>
    <w:rsid w:val="00B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4479</Characters>
  <Application>Microsoft Office Word</Application>
  <DocSecurity>0</DocSecurity>
  <Lines>37</Lines>
  <Paragraphs>10</Paragraphs>
  <ScaleCrop>false</ScaleCrop>
  <Company>Microsoft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2016-01-14T04:12:00Z</dcterms:created>
  <dcterms:modified xsi:type="dcterms:W3CDTF">2016-01-14T04:12:00Z</dcterms:modified>
</cp:coreProperties>
</file>