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20"/>
      </w:pPr>
      <w:r>
        <w:rPr>
          <w:rFonts w:ascii="Calibri" w:hAnsi="Calibri"/>
          <w:b/>
          <w:color w:val="1C7C7D"/>
          <w:sz w:val="20"/>
        </w:rPr>
        <w:t>PROPERTY RESEARCH • FEATURE 3</w:t>
      </w:r>
    </w:p>
    <w:p>
      <w:pPr>
        <w:pStyle w:val="Title"/>
      </w:pPr>
      <w:r>
        <w:t>Suburb, Crime, and</w:t>
        <w:br/>
        <w:t>Liveability Analytics</w:t>
      </w:r>
    </w:p>
    <w:p>
      <w:pPr>
        <w:pStyle w:val="Subtitle"/>
      </w:pPr>
      <w:r>
        <w:t>Formal feature plan for the PropertyScope NSW property research website</w:t>
      </w:r>
    </w:p>
    <w:p>
      <w:pPr>
        <w:spacing w:before="240" w:after="480" w:line="276" w:lineRule="auto"/>
      </w:pPr>
      <w:r>
        <w:rPr>
          <w:rFonts w:ascii="Calibri" w:hAnsi="Calibri"/>
          <w:b/>
          <w:color w:val="17324D"/>
          <w:sz w:val="25"/>
        </w:rPr>
        <w:t>A source-transparent, suburb-level research experience that combines recorded crime, demographic context, amenity access, and liveability dimensions without presenting model-generated advice as fact.</w:t>
      </w:r>
    </w:p>
    <w:p>
      <w:pPr>
        <w:spacing w:after="60"/>
      </w:pPr>
      <w:r>
        <w:rPr>
          <w:rFonts w:ascii="Calibri" w:hAnsi="Calibri"/>
          <w:b/>
          <w:color w:val="17324D"/>
          <w:sz w:val="21"/>
        </w:rPr>
        <w:t xml:space="preserve">Prepared for: </w:t>
      </w:r>
      <w:r>
        <w:rPr>
          <w:rFonts w:ascii="Calibri" w:hAnsi="Calibri"/>
          <w:color w:val="1F2937"/>
          <w:sz w:val="21"/>
        </w:rPr>
        <w:t>James Huang (Student 3)</w:t>
      </w:r>
    </w:p>
    <w:p>
      <w:pPr>
        <w:spacing w:after="60"/>
      </w:pPr>
      <w:r>
        <w:rPr>
          <w:rFonts w:ascii="Calibri" w:hAnsi="Calibri"/>
          <w:b/>
          <w:color w:val="17324D"/>
          <w:sz w:val="21"/>
        </w:rPr>
        <w:t xml:space="preserve">Project: </w:t>
      </w:r>
      <w:r>
        <w:rPr>
          <w:rFonts w:ascii="Calibri" w:hAnsi="Calibri"/>
          <w:color w:val="1F2937"/>
          <w:sz w:val="21"/>
        </w:rPr>
        <w:t>PropertyScope - NSW Property Research Website with Agentic Capabilities</w:t>
      </w:r>
    </w:p>
    <w:p>
      <w:pPr>
        <w:spacing w:after="60"/>
      </w:pPr>
      <w:r>
        <w:rPr>
          <w:rFonts w:ascii="Calibri" w:hAnsi="Calibri"/>
          <w:b/>
          <w:color w:val="17324D"/>
          <w:sz w:val="21"/>
        </w:rPr>
        <w:t xml:space="preserve">Status: </w:t>
      </w:r>
      <w:r>
        <w:rPr>
          <w:rFonts w:ascii="Calibri" w:hAnsi="Calibri"/>
          <w:color w:val="1F2937"/>
          <w:sz w:val="21"/>
        </w:rPr>
        <w:t>Formal implementation plan / proposed Feature 3 contract</w:t>
      </w:r>
    </w:p>
    <w:p>
      <w:pPr>
        <w:spacing w:after="60"/>
      </w:pPr>
      <w:r>
        <w:rPr>
          <w:rFonts w:ascii="Calibri" w:hAnsi="Calibri"/>
          <w:b/>
          <w:color w:val="17324D"/>
          <w:sz w:val="21"/>
        </w:rPr>
        <w:t xml:space="preserve">Version: </w:t>
      </w:r>
      <w:r>
        <w:rPr>
          <w:rFonts w:ascii="Calibri" w:hAnsi="Calibri"/>
          <w:color w:val="1F2937"/>
          <w:sz w:val="21"/>
        </w:rPr>
        <w:t>1.0</w:t>
      </w:r>
    </w:p>
    <w:p>
      <w:pPr>
        <w:spacing w:after="60"/>
      </w:pPr>
      <w:r>
        <w:rPr>
          <w:rFonts w:ascii="Calibri" w:hAnsi="Calibri"/>
          <w:b/>
          <w:color w:val="17324D"/>
          <w:sz w:val="21"/>
        </w:rPr>
        <w:t xml:space="preserve">Date: </w:t>
      </w:r>
      <w:r>
        <w:rPr>
          <w:rFonts w:ascii="Calibri" w:hAnsi="Calibri"/>
          <w:color w:val="1F2937"/>
          <w:sz w:val="21"/>
        </w:rPr>
        <w:t>2 September 2026</w:t>
      </w:r>
    </w:p>
    <w:p>
      <w:pPr>
        <w:spacing w:before="680" w:after="0"/>
      </w:pPr>
      <w:r>
        <w:rPr>
          <w:rFonts w:ascii="Calibri" w:hAnsi="Calibri"/>
          <w:b/>
          <w:color w:val="667085"/>
          <w:sz w:val="18"/>
        </w:rPr>
        <w:t>Planning basis</w:t>
      </w:r>
    </w:p>
    <w:p>
      <w:pPr>
        <w:spacing w:after="0"/>
      </w:pPr>
      <w:r>
        <w:rPr>
          <w:rFonts w:ascii="Calibri" w:hAnsi="Calibri"/>
          <w:i/>
          <w:color w:val="667085"/>
          <w:sz w:val="18"/>
        </w:rPr>
        <w:t>Course specification, approved Feature 3 boundary, current PropertyScope architecture, and authoritative public-data research. Proposed routes and tables remain subject to normal project review.</w:t>
      </w:r>
    </w:p>
    <w:p>
      <w:r>
        <w:br w:type="page"/>
      </w:r>
    </w:p>
    <w:p>
      <w:pPr>
        <w:pStyle w:val="Heading1"/>
      </w:pPr>
      <w:r>
        <w:t>Document purpose and status</w:t>
      </w:r>
    </w:p>
    <w:p>
      <w:r>
        <w:rPr>
          <w:rFonts w:ascii="Calibri" w:hAnsi="Calibri"/>
        </w:rPr>
        <w:t>This document turns the approved Feature 3 scope into an implementable product, data, API, database, AI, and delivery plan. It is intentionally explicit about data geography, freshness, and uncertainty so that the feature supports informed research without implying that a suburb-level statistic predicts the safety or suitability of an individual property.</w:t>
      </w:r>
    </w:p>
    <w:p>
      <w:pPr>
        <w:keepLines/>
        <w:spacing w:before="120" w:after="200" w:line="264" w:lineRule="auto"/>
        <w:ind w:left="173" w:right="86"/>
        <w:shd w:fill="E8EEF5"/>
        <w:pBdr>
          <w:left w:val="single" w:sz="18" w:space="7" w:color="2E74B5"/>
        </w:pBdr>
      </w:pPr>
      <w:r>
        <w:rPr>
          <w:rFonts w:ascii="Calibri" w:hAnsi="Calibri"/>
          <w:b/>
          <w:color w:val="2E74B5"/>
        </w:rPr>
        <w:t xml:space="preserve">Authority note: </w:t>
      </w:r>
      <w:r>
        <w:rPr>
          <w:rFonts w:ascii="Calibri" w:hAnsi="Calibri"/>
          <w:color w:val="1F2937"/>
        </w:rPr>
        <w:t>The attached ASD 2026 specification is used as assessment context, including the three-microservice slice, CRUD, ten-record minimum, shared UI, Agentic loop, CI/CD, Docker, and release evidence. Current repository architecture and approved ADRs govern implementation details where they have evolved, including the shared AI-mode provider boundary and reserved public paths.</w:t>
      </w:r>
    </w:p>
    <w:p>
      <w:pPr>
        <w:pStyle w:val="Heading2"/>
      </w:pPr>
      <w:r>
        <w:t>Contents</w:t>
      </w:r>
    </w:p>
    <w:p>
      <w:pPr>
        <w:numPr>
          <w:ilvl w:val="0"/>
          <w:numId w:val="1"/>
        </w:numPr>
        <w:spacing w:after="160" w:line="280" w:lineRule="auto"/>
      </w:pPr>
      <w:r>
        <w:rPr>
          <w:rFonts w:ascii="Calibri" w:hAnsi="Calibri"/>
        </w:rPr>
        <w:t>Executive summary</w:t>
      </w:r>
    </w:p>
    <w:p>
      <w:pPr>
        <w:numPr>
          <w:ilvl w:val="0"/>
          <w:numId w:val="1"/>
        </w:numPr>
        <w:spacing w:after="160" w:line="280" w:lineRule="auto"/>
      </w:pPr>
      <w:r>
        <w:rPr>
          <w:rFonts w:ascii="Calibri" w:hAnsi="Calibri"/>
        </w:rPr>
        <w:t>Scope, users, and success criteria</w:t>
      </w:r>
    </w:p>
    <w:p>
      <w:pPr>
        <w:numPr>
          <w:ilvl w:val="0"/>
          <w:numId w:val="1"/>
        </w:numPr>
        <w:spacing w:after="160" w:line="280" w:lineRule="auto"/>
      </w:pPr>
      <w:r>
        <w:rPr>
          <w:rFonts w:ascii="Calibri" w:hAnsi="Calibri"/>
        </w:rPr>
        <w:t>Experience architecture, views, and visualisations</w:t>
      </w:r>
    </w:p>
    <w:p>
      <w:pPr>
        <w:numPr>
          <w:ilvl w:val="0"/>
          <w:numId w:val="1"/>
        </w:numPr>
        <w:spacing w:after="160" w:line="280" w:lineRule="auto"/>
      </w:pPr>
      <w:r>
        <w:rPr>
          <w:rFonts w:ascii="Calibri" w:hAnsi="Calibri"/>
        </w:rPr>
        <w:t>Liveability and crime measurement model</w:t>
      </w:r>
    </w:p>
    <w:p>
      <w:pPr>
        <w:numPr>
          <w:ilvl w:val="0"/>
          <w:numId w:val="1"/>
        </w:numPr>
        <w:spacing w:after="160" w:line="280" w:lineRule="auto"/>
      </w:pPr>
      <w:r>
        <w:rPr>
          <w:rFonts w:ascii="Calibri" w:hAnsi="Calibri"/>
        </w:rPr>
        <w:t>Datasets and provenance</w:t>
      </w:r>
    </w:p>
    <w:p>
      <w:pPr>
        <w:numPr>
          <w:ilvl w:val="0"/>
          <w:numId w:val="1"/>
        </w:numPr>
        <w:spacing w:after="160" w:line="280" w:lineRule="auto"/>
      </w:pPr>
      <w:r>
        <w:rPr>
          <w:rFonts w:ascii="Calibri" w:hAnsi="Calibri"/>
        </w:rPr>
        <w:t>Service architecture and API hook-ins</w:t>
      </w:r>
    </w:p>
    <w:p>
      <w:pPr>
        <w:numPr>
          <w:ilvl w:val="0"/>
          <w:numId w:val="1"/>
        </w:numPr>
        <w:spacing w:after="160" w:line="280" w:lineRule="auto"/>
      </w:pPr>
      <w:r>
        <w:rPr>
          <w:rFonts w:ascii="Calibri" w:hAnsi="Calibri"/>
        </w:rPr>
        <w:t>Database layout</w:t>
      </w:r>
    </w:p>
    <w:p>
      <w:pPr>
        <w:numPr>
          <w:ilvl w:val="0"/>
          <w:numId w:val="1"/>
        </w:numPr>
        <w:spacing w:after="160" w:line="280" w:lineRule="auto"/>
      </w:pPr>
      <w:r>
        <w:rPr>
          <w:rFonts w:ascii="Calibri" w:hAnsi="Calibri"/>
        </w:rPr>
        <w:t>Ingestion, transformation, and publication</w:t>
      </w:r>
    </w:p>
    <w:p>
      <w:pPr>
        <w:numPr>
          <w:ilvl w:val="0"/>
          <w:numId w:val="1"/>
        </w:numPr>
        <w:spacing w:after="160" w:line="280" w:lineRule="auto"/>
      </w:pPr>
      <w:r>
        <w:rPr>
          <w:rFonts w:ascii="Calibri" w:hAnsi="Calibri"/>
        </w:rPr>
        <w:t>Security, accessibility, and non-functional requirements</w:t>
      </w:r>
    </w:p>
    <w:p>
      <w:pPr>
        <w:numPr>
          <w:ilvl w:val="0"/>
          <w:numId w:val="1"/>
        </w:numPr>
        <w:spacing w:after="160" w:line="280" w:lineRule="auto"/>
      </w:pPr>
      <w:r>
        <w:rPr>
          <w:rFonts w:ascii="Calibri" w:hAnsi="Calibri"/>
        </w:rPr>
        <w:t>Delivery roadmap and evidence</w:t>
      </w:r>
    </w:p>
    <w:p>
      <w:pPr>
        <w:numPr>
          <w:ilvl w:val="0"/>
          <w:numId w:val="1"/>
        </w:numPr>
        <w:spacing w:after="160" w:line="280" w:lineRule="auto"/>
      </w:pPr>
      <w:r>
        <w:rPr>
          <w:rFonts w:ascii="Calibri" w:hAnsi="Calibri"/>
        </w:rPr>
        <w:t>Testing, risks, decisions, and definition of done</w:t>
      </w:r>
    </w:p>
    <w:p>
      <w:pPr>
        <w:numPr>
          <w:ilvl w:val="0"/>
          <w:numId w:val="1"/>
        </w:numPr>
        <w:spacing w:after="160" w:line="280" w:lineRule="auto"/>
      </w:pPr>
      <w:r>
        <w:rPr>
          <w:rFonts w:ascii="Calibri" w:hAnsi="Calibri"/>
        </w:rPr>
        <w:t>Appendices: payloads and source register</w:t>
      </w:r>
    </w:p>
    <w:p>
      <w:r>
        <w:br w:type="page"/>
      </w:r>
    </w:p>
    <w:p>
      <w:pPr>
        <w:pStyle w:val="Heading2"/>
      </w:pPr>
      <w:r>
        <w:t>Key planning decisions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Decision</w:t>
            </w:r>
          </w:p>
        </w:tc>
        <w:tc>
          <w:tcPr>
            <w:tcW w:type="dxa" w:w="74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Plan</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Canonical suburb identity</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Use NSW gazetted suburb/locality boundaries and identifiers for product identity; retain ABS SAL and BOCSAR match evidence separately.</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Liveability</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Launch with a transparent dimension profile and raw measures. Defer any overall composite score until weighting, cohort, coverage, and governance are approved.</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Crime</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Show recorded incidents, comparable-period trends, category mix, and clearly qualified rates; never label a suburb safe/unsafe or predict individual risk.</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Data serving</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No live fan-out to publishers from user requests. Acquire to staging, validate, publish an immutable accepted release, and serve the accepted local copy.</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Ownership</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Frontend -&gt; Feature 3 backend -&gt; Feature 3 database API. Only the database service opens the Feature 3 SQLite file.</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AI</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A bounded, read-only evidence explanation workflow through shared AI-mode. Deterministic search, CRUD, charts, and calculations work when AI is unavailable.</w:t>
            </w:r>
          </w:p>
        </w:tc>
      </w:tr>
    </w:tbl>
    <w:p>
      <w:pPr>
        <w:spacing w:after="40"/>
      </w:pPr>
    </w:p>
    <w:p>
      <w:pPr>
        <w:pStyle w:val="Heading1"/>
      </w:pPr>
      <w:r>
        <w:t>Executive summary</w:t>
      </w:r>
    </w:p>
    <w:p>
      <w:r>
        <w:rPr>
          <w:rFonts w:ascii="Calibri" w:hAnsi="Calibri"/>
        </w:rPr>
        <w:t>Feature 3 should help a property researcher answer four questions: What is this suburb? What recorded crime patterns are visible over a chosen period? What amenities and services are available? How do its liveability dimensions compare with selected peers using the same definitions and dates?</w:t>
      </w:r>
    </w:p>
    <w:p>
      <w:r>
        <w:rPr>
          <w:rFonts w:ascii="Calibri" w:hAnsi="Calibri"/>
        </w:rPr>
        <w:t>The recommended minimum viable slice is a suburb explorer, a source-attributed suburb profile, crime and amenity views, saved-list CRUD, and a compare view for up to four suburbs. The backend owns location validation, query rules, deterministic calculations, ingestion orchestration, and a bounded AI explanation endpoint. The database service owns an exclusive SQLite file and exposes only narrow persistence HTTP endpoints.</w:t>
      </w:r>
    </w:p>
    <w:p>
      <w:pPr>
        <w:keepLines/>
        <w:spacing w:before="120" w:after="200" w:line="264" w:lineRule="auto"/>
        <w:ind w:left="173" w:right="86"/>
        <w:shd w:fill="E8F4F3"/>
        <w:pBdr>
          <w:left w:val="single" w:sz="18" w:space="7" w:color="1C7C7D"/>
        </w:pBdr>
      </w:pPr>
      <w:r>
        <w:rPr>
          <w:rFonts w:ascii="Calibri" w:hAnsi="Calibri"/>
          <w:b/>
          <w:color w:val="1C7C7D"/>
        </w:rPr>
        <w:t xml:space="preserve">Recommended product posture: </w:t>
      </w:r>
      <w:r>
        <w:rPr>
          <w:rFonts w:ascii="Calibri" w:hAnsi="Calibri"/>
          <w:color w:val="1F2937"/>
        </w:rPr>
        <w:t>Present evidence and comparisons, not a single verdict. Users should be able to inspect raw values, the comparison cohort, the effective date, and the publisher behind every indicator. A liveability profile is a research aid, not financial, legal, safety, or buying advice.</w:t>
      </w:r>
    </w:p>
    <w:p>
      <w:pPr>
        <w:pStyle w:val="Heading2"/>
      </w:pPr>
      <w:r>
        <w:t>Objectives</w:t>
      </w:r>
    </w:p>
    <w:p>
      <w:pPr>
        <w:numPr>
          <w:ilvl w:val="0"/>
          <w:numId w:val="1"/>
        </w:numPr>
        <w:spacing w:after="160" w:line="280" w:lineRule="auto"/>
      </w:pPr>
      <w:r>
        <w:rPr>
          <w:rFonts w:ascii="Calibri" w:hAnsi="Calibri"/>
        </w:rPr>
        <w:t>Provide fast, searchable NSW suburb discovery with filters for LGA, postcode, population band, amenity categories, and available indicator dimensions.</w:t>
      </w:r>
    </w:p>
    <w:p>
      <w:pPr>
        <w:numPr>
          <w:ilvl w:val="0"/>
          <w:numId w:val="1"/>
        </w:numPr>
        <w:spacing w:after="160" w:line="280" w:lineRule="auto"/>
      </w:pPr>
      <w:r>
        <w:rPr>
          <w:rFonts w:ascii="Calibri" w:hAnsi="Calibri"/>
        </w:rPr>
        <w:t>Combine suburb identity, Census context, recorded crime, amenities, and transport access in one source-attributed profile.</w:t>
      </w:r>
    </w:p>
    <w:p>
      <w:pPr>
        <w:numPr>
          <w:ilvl w:val="0"/>
          <w:numId w:val="1"/>
        </w:numPr>
        <w:spacing w:after="160" w:line="280" w:lineRule="auto"/>
      </w:pPr>
      <w:r>
        <w:rPr>
          <w:rFonts w:ascii="Calibri" w:hAnsi="Calibri"/>
        </w:rPr>
        <w:t>Support saved suburb and named-list CRUD for authenticated users while keeping public research views usable without an AI provider.</w:t>
      </w:r>
    </w:p>
    <w:p>
      <w:pPr>
        <w:numPr>
          <w:ilvl w:val="0"/>
          <w:numId w:val="1"/>
        </w:numPr>
        <w:spacing w:after="160" w:line="280" w:lineRule="auto"/>
      </w:pPr>
      <w:r>
        <w:rPr>
          <w:rFonts w:ascii="Calibri" w:hAnsi="Calibri"/>
        </w:rPr>
        <w:t>Expose structured JSON projections for cards, charts, maps, Feature 5 research composition, and allowlisted AI tools.</w:t>
      </w:r>
    </w:p>
    <w:p>
      <w:pPr>
        <w:numPr>
          <w:ilvl w:val="0"/>
          <w:numId w:val="1"/>
        </w:numPr>
        <w:spacing w:after="160" w:line="280" w:lineRule="auto"/>
      </w:pPr>
      <w:r>
        <w:rPr>
          <w:rFonts w:ascii="Calibri" w:hAnsi="Calibri"/>
        </w:rPr>
        <w:t>Make geography matching, missing data, coverage, freshness, and transformations visible and testable.</w:t>
      </w:r>
    </w:p>
    <w:p>
      <w:pPr>
        <w:pStyle w:val="Heading2"/>
      </w:pPr>
      <w:r>
        <w:t>Explicit non-goals</w:t>
      </w:r>
    </w:p>
    <w:p>
      <w:pPr>
        <w:numPr>
          <w:ilvl w:val="0"/>
          <w:numId w:val="1"/>
        </w:numPr>
        <w:spacing w:after="160" w:line="280" w:lineRule="auto"/>
      </w:pPr>
      <w:r>
        <w:rPr>
          <w:rFonts w:ascii="Calibri" w:hAnsi="Calibri"/>
        </w:rPr>
        <w:t>Predicting whether a user will be a victim of crime, whether a property is safe, or where police activity will occur.</w:t>
      </w:r>
    </w:p>
    <w:p>
      <w:pPr>
        <w:numPr>
          <w:ilvl w:val="0"/>
          <w:numId w:val="1"/>
        </w:numPr>
        <w:spacing w:after="160" w:line="280" w:lineRule="auto"/>
      </w:pPr>
      <w:r>
        <w:rPr>
          <w:rFonts w:ascii="Calibri" w:hAnsi="Calibri"/>
        </w:rPr>
        <w:t>Producing a valuation, investment return forecast, or buy/avoid recommendation; sale interpretation belongs to Feature 2.</w:t>
      </w:r>
    </w:p>
    <w:p>
      <w:pPr>
        <w:numPr>
          <w:ilvl w:val="0"/>
          <w:numId w:val="1"/>
        </w:numPr>
        <w:spacing w:after="160" w:line="280" w:lineRule="auto"/>
      </w:pPr>
      <w:r>
        <w:rPr>
          <w:rFonts w:ascii="Calibri" w:hAnsi="Calibri"/>
        </w:rPr>
        <w:t>Certifying school quality, healthcare quality, planning compliance, environmental safety, or legal suitability.</w:t>
      </w:r>
    </w:p>
    <w:p>
      <w:pPr>
        <w:numPr>
          <w:ilvl w:val="0"/>
          <w:numId w:val="1"/>
        </w:numPr>
        <w:spacing w:after="160" w:line="280" w:lineRule="auto"/>
      </w:pPr>
      <w:r>
        <w:rPr>
          <w:rFonts w:ascii="Calibri" w:hAnsi="Calibri"/>
        </w:rPr>
        <w:t>Calling government sources synchronously from a page request or letting the LLM write directly to the database.</w:t>
      </w:r>
    </w:p>
    <w:p>
      <w:pPr>
        <w:numPr>
          <w:ilvl w:val="0"/>
          <w:numId w:val="1"/>
        </w:numPr>
        <w:spacing w:after="160" w:line="280" w:lineRule="auto"/>
      </w:pPr>
      <w:r>
        <w:rPr>
          <w:rFonts w:ascii="Calibri" w:hAnsi="Calibri"/>
        </w:rPr>
        <w:t>Sharing a SQLite file, database credentials, or production package imports with another student feature or AI-mode.</w:t>
      </w:r>
    </w:p>
    <w:p>
      <w:pPr>
        <w:pStyle w:val="Heading2"/>
      </w:pPr>
      <w:r>
        <w:t>Primary outcomes and measures</w:t>
      </w:r>
    </w:p>
    <w:tbl>
      <w:tblPr>
        <w:tblStyle w:val="TableGrid"/>
        <w:tblW w:type="dxa" w:w="9360"/>
        <w:jc w:val="left"/>
        <w:tblLayout w:type="fixed"/>
        <w:tblLook w:firstColumn="1" w:firstRow="1" w:lastColumn="0" w:lastRow="0" w:noHBand="0" w:noVBand="1" w:val="04A0"/>
        <w:tblInd w:w="120" w:type="dxa"/>
      </w:tblPr>
      <w:tblGrid>
        <w:gridCol w:w="1900"/>
        <w:gridCol w:w="3660"/>
        <w:gridCol w:w="3800"/>
      </w:tblGrid>
      <w:tr>
        <w:trPr>
          <w:tblHeader w:val="true"/>
          <w:cantSplit/>
        </w:trPr>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Outcome</w:t>
            </w:r>
          </w:p>
        </w:tc>
        <w:tc>
          <w:tcPr>
            <w:tcW w:type="dxa" w:w="36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Acceptance measure</w:t>
            </w:r>
          </w:p>
        </w:tc>
        <w:tc>
          <w:tcPr>
            <w:tcW w:type="dxa" w:w="38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Initial target</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Findability</w:t>
            </w:r>
          </w:p>
        </w:tc>
        <w:tc>
          <w:tcPr>
            <w:tcW w:type="dxa" w:w="3660"/>
            <w:vAlign w:val="center"/>
            <w:tcMar>
              <w:top w:w="80" w:type="dxa"/>
              <w:start w:w="120" w:type="dxa"/>
              <w:bottom w:w="80" w:type="dxa"/>
              <w:end w:w="120" w:type="dxa"/>
            </w:tcMar>
          </w:tcPr>
          <w:p>
            <w:pPr>
              <w:spacing w:after="0" w:line="240" w:lineRule="auto"/>
            </w:pPr>
            <w:r>
              <w:rPr>
                <w:rFonts w:ascii="Calibri" w:hAnsi="Calibri"/>
                <w:color w:val="1F2937"/>
                <w:sz w:val="18"/>
              </w:rPr>
              <w:t>Search returns a stable, correctly matched suburb record</w:t>
            </w:r>
          </w:p>
        </w:tc>
        <w:tc>
          <w:tcPr>
            <w:tcW w:type="dxa" w:w="3800"/>
            <w:vAlign w:val="center"/>
            <w:tcMar>
              <w:top w:w="80" w:type="dxa"/>
              <w:start w:w="120" w:type="dxa"/>
              <w:bottom w:w="80" w:type="dxa"/>
              <w:end w:w="120" w:type="dxa"/>
            </w:tcMar>
          </w:tcPr>
          <w:p>
            <w:pPr>
              <w:spacing w:after="0" w:line="240" w:lineRule="auto"/>
            </w:pPr>
            <w:r>
              <w:rPr>
                <w:rFonts w:ascii="Calibri" w:hAnsi="Calibri"/>
                <w:color w:val="1F2937"/>
                <w:sz w:val="18"/>
              </w:rPr>
              <w:t>p95 &lt; 500 ms from accepted local data; typo-safe prefix search</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Interpretability</w:t>
            </w:r>
          </w:p>
        </w:tc>
        <w:tc>
          <w:tcPr>
            <w:tcW w:type="dxa" w:w="3660"/>
            <w:vAlign w:val="center"/>
            <w:shd w:fill="F8FAFC"/>
            <w:tcMar>
              <w:top w:w="80" w:type="dxa"/>
              <w:start w:w="120" w:type="dxa"/>
              <w:bottom w:w="80" w:type="dxa"/>
              <w:end w:w="120" w:type="dxa"/>
            </w:tcMar>
          </w:tcPr>
          <w:p>
            <w:pPr>
              <w:spacing w:after="0" w:line="240" w:lineRule="auto"/>
            </w:pPr>
            <w:r>
              <w:rPr>
                <w:rFonts w:ascii="Calibri" w:hAnsi="Calibri"/>
                <w:color w:val="1F2937"/>
                <w:sz w:val="18"/>
              </w:rPr>
              <w:t>Every card/chart reveals unit, period, source, and coverage</w:t>
            </w:r>
          </w:p>
        </w:tc>
        <w:tc>
          <w:tcPr>
            <w:tcW w:type="dxa" w:w="3800"/>
            <w:vAlign w:val="center"/>
            <w:shd w:fill="F8FAFC"/>
            <w:tcMar>
              <w:top w:w="80" w:type="dxa"/>
              <w:start w:w="120" w:type="dxa"/>
              <w:bottom w:w="80" w:type="dxa"/>
              <w:end w:w="120" w:type="dxa"/>
            </w:tcMar>
          </w:tcPr>
          <w:p>
            <w:pPr>
              <w:spacing w:after="0" w:line="240" w:lineRule="auto"/>
            </w:pPr>
            <w:r>
              <w:rPr>
                <w:rFonts w:ascii="Calibri" w:hAnsi="Calibri"/>
                <w:color w:val="1F2937"/>
                <w:sz w:val="18"/>
              </w:rPr>
              <w:t>100% of source-backed projections carry evidence metadata</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Comparability</w:t>
            </w:r>
          </w:p>
        </w:tc>
        <w:tc>
          <w:tcPr>
            <w:tcW w:type="dxa" w:w="3660"/>
            <w:vAlign w:val="center"/>
            <w:tcMar>
              <w:top w:w="80" w:type="dxa"/>
              <w:start w:w="120" w:type="dxa"/>
              <w:bottom w:w="80" w:type="dxa"/>
              <w:end w:w="120" w:type="dxa"/>
            </w:tcMar>
          </w:tcPr>
          <w:p>
            <w:pPr>
              <w:spacing w:after="0" w:line="240" w:lineRule="auto"/>
            </w:pPr>
            <w:r>
              <w:rPr>
                <w:rFonts w:ascii="Calibri" w:hAnsi="Calibri"/>
                <w:color w:val="1F2937"/>
                <w:sz w:val="18"/>
              </w:rPr>
              <w:t>All suburbs in a chart share metric definition, period, and cohort</w:t>
            </w:r>
          </w:p>
        </w:tc>
        <w:tc>
          <w:tcPr>
            <w:tcW w:type="dxa" w:w="3800"/>
            <w:vAlign w:val="center"/>
            <w:tcMar>
              <w:top w:w="80" w:type="dxa"/>
              <w:start w:w="120" w:type="dxa"/>
              <w:bottom w:w="80" w:type="dxa"/>
              <w:end w:w="120" w:type="dxa"/>
            </w:tcMar>
          </w:tcPr>
          <w:p>
            <w:pPr>
              <w:spacing w:after="0" w:line="240" w:lineRule="auto"/>
            </w:pPr>
            <w:r>
              <w:rPr>
                <w:rFonts w:ascii="Calibri" w:hAnsi="Calibri"/>
                <w:color w:val="1F2937"/>
                <w:sz w:val="18"/>
              </w:rPr>
              <w:t>Reject mixed-period/mixed-unit comparisons</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Resilience</w:t>
            </w:r>
          </w:p>
        </w:tc>
        <w:tc>
          <w:tcPr>
            <w:tcW w:type="dxa" w:w="3660"/>
            <w:vAlign w:val="center"/>
            <w:shd w:fill="F8FAFC"/>
            <w:tcMar>
              <w:top w:w="80" w:type="dxa"/>
              <w:start w:w="120" w:type="dxa"/>
              <w:bottom w:w="80" w:type="dxa"/>
              <w:end w:w="120" w:type="dxa"/>
            </w:tcMar>
          </w:tcPr>
          <w:p>
            <w:pPr>
              <w:spacing w:after="0" w:line="240" w:lineRule="auto"/>
            </w:pPr>
            <w:r>
              <w:rPr>
                <w:rFonts w:ascii="Calibri" w:hAnsi="Calibri"/>
                <w:color w:val="1F2937"/>
                <w:sz w:val="18"/>
              </w:rPr>
              <w:t>Public research and user CRUD remain usable without the model</w:t>
            </w:r>
          </w:p>
        </w:tc>
        <w:tc>
          <w:tcPr>
            <w:tcW w:type="dxa" w:w="3800"/>
            <w:vAlign w:val="center"/>
            <w:shd w:fill="F8FAFC"/>
            <w:tcMar>
              <w:top w:w="80" w:type="dxa"/>
              <w:start w:w="120" w:type="dxa"/>
              <w:bottom w:w="80" w:type="dxa"/>
              <w:end w:w="120" w:type="dxa"/>
            </w:tcMar>
          </w:tcPr>
          <w:p>
            <w:pPr>
              <w:spacing w:after="0" w:line="240" w:lineRule="auto"/>
            </w:pPr>
            <w:r>
              <w:rPr>
                <w:rFonts w:ascii="Calibri" w:hAnsi="Calibri"/>
                <w:color w:val="1F2937"/>
                <w:sz w:val="18"/>
              </w:rPr>
              <w:t>Deterministic path passes with AI-mode unavailable</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Traceability</w:t>
            </w:r>
          </w:p>
        </w:tc>
        <w:tc>
          <w:tcPr>
            <w:tcW w:type="dxa" w:w="3660"/>
            <w:vAlign w:val="center"/>
            <w:tcMar>
              <w:top w:w="80" w:type="dxa"/>
              <w:start w:w="120" w:type="dxa"/>
              <w:bottom w:w="80" w:type="dxa"/>
              <w:end w:w="120" w:type="dxa"/>
            </w:tcMar>
          </w:tcPr>
          <w:p>
            <w:pPr>
              <w:spacing w:after="0" w:line="240" w:lineRule="auto"/>
            </w:pPr>
            <w:r>
              <w:rPr>
                <w:rFonts w:ascii="Calibri" w:hAnsi="Calibri"/>
                <w:color w:val="1F2937"/>
                <w:sz w:val="18"/>
              </w:rPr>
              <w:t>Request, ingestion, release, and AI run identifiers can be followed</w:t>
            </w:r>
          </w:p>
        </w:tc>
        <w:tc>
          <w:tcPr>
            <w:tcW w:type="dxa" w:w="3800"/>
            <w:vAlign w:val="center"/>
            <w:tcMar>
              <w:top w:w="80" w:type="dxa"/>
              <w:start w:w="120" w:type="dxa"/>
              <w:bottom w:w="80" w:type="dxa"/>
              <w:end w:w="120" w:type="dxa"/>
            </w:tcMar>
          </w:tcPr>
          <w:p>
            <w:pPr>
              <w:spacing w:after="0" w:line="240" w:lineRule="auto"/>
            </w:pPr>
            <w:r>
              <w:rPr>
                <w:rFonts w:ascii="Calibri" w:hAnsi="Calibri"/>
                <w:color w:val="1F2937"/>
                <w:sz w:val="18"/>
              </w:rPr>
              <w:t>X-Request-ID on every response; release IDs in evidence</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Accessibility</w:t>
            </w:r>
          </w:p>
        </w:tc>
        <w:tc>
          <w:tcPr>
            <w:tcW w:type="dxa" w:w="3660"/>
            <w:vAlign w:val="center"/>
            <w:shd w:fill="F8FAFC"/>
            <w:tcMar>
              <w:top w:w="80" w:type="dxa"/>
              <w:start w:w="120" w:type="dxa"/>
              <w:bottom w:w="80" w:type="dxa"/>
              <w:end w:w="120" w:type="dxa"/>
            </w:tcMar>
          </w:tcPr>
          <w:p>
            <w:pPr>
              <w:spacing w:after="0" w:line="240" w:lineRule="auto"/>
            </w:pPr>
            <w:r>
              <w:rPr>
                <w:rFonts w:ascii="Calibri" w:hAnsi="Calibri"/>
                <w:color w:val="1F2937"/>
                <w:sz w:val="18"/>
              </w:rPr>
              <w:t>Core information is usable without colour, mouse, or canvas</w:t>
            </w:r>
          </w:p>
        </w:tc>
        <w:tc>
          <w:tcPr>
            <w:tcW w:type="dxa" w:w="3800"/>
            <w:vAlign w:val="center"/>
            <w:shd w:fill="F8FAFC"/>
            <w:tcMar>
              <w:top w:w="80" w:type="dxa"/>
              <w:start w:w="120" w:type="dxa"/>
              <w:bottom w:w="80" w:type="dxa"/>
              <w:end w:w="120" w:type="dxa"/>
            </w:tcMar>
          </w:tcPr>
          <w:p>
            <w:pPr>
              <w:spacing w:after="0" w:line="240" w:lineRule="auto"/>
            </w:pPr>
            <w:r>
              <w:rPr>
                <w:rFonts w:ascii="Calibri" w:hAnsi="Calibri"/>
                <w:color w:val="1F2937"/>
                <w:sz w:val="18"/>
              </w:rPr>
              <w:t>WCAG 2.2 AA-oriented audit; table/list fallback for charts and maps</w:t>
            </w:r>
          </w:p>
        </w:tc>
      </w:tr>
    </w:tbl>
    <w:p>
      <w:pPr>
        <w:spacing w:after="40"/>
      </w:pPr>
    </w:p>
    <w:p>
      <w:r>
        <w:br w:type="page"/>
      </w:r>
    </w:p>
    <w:p>
      <w:pPr>
        <w:pStyle w:val="Heading1"/>
      </w:pPr>
      <w:r>
        <w:t>Scope, users, and success criteria</w:t>
      </w:r>
    </w:p>
    <w:p>
      <w:pPr>
        <w:pStyle w:val="Heading2"/>
      </w:pPr>
      <w:r>
        <w:t>Users and permissions</w:t>
      </w:r>
    </w:p>
    <w:tbl>
      <w:tblPr>
        <w:tblStyle w:val="TableGrid"/>
        <w:tblW w:type="dxa" w:w="9360"/>
        <w:jc w:val="left"/>
        <w:tblLayout w:type="fixed"/>
        <w:tblLook w:firstColumn="1" w:firstRow="1" w:lastColumn="0" w:lastRow="0" w:noHBand="0" w:noVBand="1" w:val="04A0"/>
        <w:tblInd w:w="120" w:type="dxa"/>
      </w:tblPr>
      <w:tblGrid>
        <w:gridCol w:w="1700"/>
        <w:gridCol w:w="2850"/>
        <w:gridCol w:w="4810"/>
      </w:tblGrid>
      <w:tr>
        <w:trPr>
          <w:tblHeader w:val="true"/>
          <w:cantSplit/>
        </w:trPr>
        <w:tc>
          <w:tcPr>
            <w:tcW w:type="dxa" w:w="17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User</w:t>
            </w:r>
          </w:p>
        </w:tc>
        <w:tc>
          <w:tcPr>
            <w:tcW w:type="dxa" w:w="285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Needs</w:t>
            </w:r>
          </w:p>
        </w:tc>
        <w:tc>
          <w:tcPr>
            <w:tcW w:type="dxa" w:w="481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Permitted actions</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8"/>
              </w:rPr>
              <w:t>Public researcher</w:t>
            </w:r>
          </w:p>
        </w:tc>
        <w:tc>
          <w:tcPr>
            <w:tcW w:type="dxa" w:w="2850"/>
            <w:vAlign w:val="center"/>
            <w:tcMar>
              <w:top w:w="80" w:type="dxa"/>
              <w:start w:w="120" w:type="dxa"/>
              <w:bottom w:w="80" w:type="dxa"/>
              <w:end w:w="120" w:type="dxa"/>
            </w:tcMar>
          </w:tcPr>
          <w:p>
            <w:pPr>
              <w:spacing w:after="0" w:line="240" w:lineRule="auto"/>
            </w:pPr>
            <w:r>
              <w:rPr>
                <w:rFonts w:ascii="Calibri" w:hAnsi="Calibri"/>
                <w:color w:val="1F2937"/>
                <w:sz w:val="18"/>
              </w:rPr>
              <w:t>Explore and compare suburb evidence</w:t>
            </w:r>
          </w:p>
        </w:tc>
        <w:tc>
          <w:tcPr>
            <w:tcW w:type="dxa" w:w="4810"/>
            <w:vAlign w:val="center"/>
            <w:tcMar>
              <w:top w:w="80" w:type="dxa"/>
              <w:start w:w="120" w:type="dxa"/>
              <w:bottom w:w="80" w:type="dxa"/>
              <w:end w:w="120" w:type="dxa"/>
            </w:tcMar>
          </w:tcPr>
          <w:p>
            <w:pPr>
              <w:spacing w:after="0" w:line="240" w:lineRule="auto"/>
            </w:pPr>
            <w:r>
              <w:rPr>
                <w:rFonts w:ascii="Calibri" w:hAnsi="Calibri"/>
                <w:color w:val="1F2937"/>
                <w:sz w:val="18"/>
              </w:rPr>
              <w:t>Read suburb, indicators, crime, amenities, map, sources; start a non-mutating AI explanation if policy permits</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8"/>
              </w:rPr>
              <w:t>Authenticated researcher</w:t>
            </w:r>
          </w:p>
        </w:tc>
        <w:tc>
          <w:tcPr>
            <w:tcW w:type="dxa" w:w="2850"/>
            <w:vAlign w:val="center"/>
            <w:shd w:fill="F8FAFC"/>
            <w:tcMar>
              <w:top w:w="80" w:type="dxa"/>
              <w:start w:w="120" w:type="dxa"/>
              <w:bottom w:w="80" w:type="dxa"/>
              <w:end w:w="120" w:type="dxa"/>
            </w:tcMar>
          </w:tcPr>
          <w:p>
            <w:pPr>
              <w:spacing w:after="0" w:line="240" w:lineRule="auto"/>
            </w:pPr>
            <w:r>
              <w:rPr>
                <w:rFonts w:ascii="Calibri" w:hAnsi="Calibri"/>
                <w:color w:val="1F2937"/>
                <w:sz w:val="18"/>
              </w:rPr>
              <w:t>Keep a personal shortlist</w:t>
            </w:r>
          </w:p>
        </w:tc>
        <w:tc>
          <w:tcPr>
            <w:tcW w:type="dxa" w:w="4810"/>
            <w:vAlign w:val="center"/>
            <w:shd w:fill="F8FAFC"/>
            <w:tcMar>
              <w:top w:w="80" w:type="dxa"/>
              <w:start w:w="120" w:type="dxa"/>
              <w:bottom w:w="80" w:type="dxa"/>
              <w:end w:w="120" w:type="dxa"/>
            </w:tcMar>
          </w:tcPr>
          <w:p>
            <w:pPr>
              <w:spacing w:after="0" w:line="240" w:lineRule="auto"/>
            </w:pPr>
            <w:r>
              <w:rPr>
                <w:rFonts w:ascii="Calibri" w:hAnsi="Calibri"/>
                <w:color w:val="1F2937"/>
                <w:sz w:val="18"/>
              </w:rPr>
              <w:t>All public reads plus create/update/delete named lists and saved suburbs; notes remain private</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8"/>
              </w:rPr>
              <w:t>Data operator</w:t>
            </w:r>
          </w:p>
        </w:tc>
        <w:tc>
          <w:tcPr>
            <w:tcW w:type="dxa" w:w="2850"/>
            <w:vAlign w:val="center"/>
            <w:tcMar>
              <w:top w:w="80" w:type="dxa"/>
              <w:start w:w="120" w:type="dxa"/>
              <w:bottom w:w="80" w:type="dxa"/>
              <w:end w:w="120" w:type="dxa"/>
            </w:tcMar>
          </w:tcPr>
          <w:p>
            <w:pPr>
              <w:spacing w:after="0" w:line="240" w:lineRule="auto"/>
            </w:pPr>
            <w:r>
              <w:rPr>
                <w:rFonts w:ascii="Calibri" w:hAnsi="Calibri"/>
                <w:color w:val="1F2937"/>
                <w:sz w:val="18"/>
              </w:rPr>
              <w:t>Maintain accepted datasets</w:t>
            </w:r>
          </w:p>
        </w:tc>
        <w:tc>
          <w:tcPr>
            <w:tcW w:type="dxa" w:w="4810"/>
            <w:vAlign w:val="center"/>
            <w:tcMar>
              <w:top w:w="80" w:type="dxa"/>
              <w:start w:w="120" w:type="dxa"/>
              <w:bottom w:w="80" w:type="dxa"/>
              <w:end w:w="120" w:type="dxa"/>
            </w:tcMar>
          </w:tcPr>
          <w:p>
            <w:pPr>
              <w:spacing w:after="0" w:line="240" w:lineRule="auto"/>
            </w:pPr>
            <w:r>
              <w:rPr>
                <w:rFonts w:ascii="Calibri" w:hAnsi="Calibri"/>
                <w:color w:val="1F2937"/>
                <w:sz w:val="18"/>
              </w:rPr>
              <w:t>Preview, start, inspect, accept/reject ingestion runs; no direct database-file access</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8"/>
              </w:rPr>
              <w:t>Feature 5 service</w:t>
            </w:r>
          </w:p>
        </w:tc>
        <w:tc>
          <w:tcPr>
            <w:tcW w:type="dxa" w:w="2850"/>
            <w:vAlign w:val="center"/>
            <w:shd w:fill="F8FAFC"/>
            <w:tcMar>
              <w:top w:w="80" w:type="dxa"/>
              <w:start w:w="120" w:type="dxa"/>
              <w:bottom w:w="80" w:type="dxa"/>
              <w:end w:w="120" w:type="dxa"/>
            </w:tcMar>
          </w:tcPr>
          <w:p>
            <w:pPr>
              <w:spacing w:after="0" w:line="240" w:lineRule="auto"/>
            </w:pPr>
            <w:r>
              <w:rPr>
                <w:rFonts w:ascii="Calibri" w:hAnsi="Calibri"/>
                <w:color w:val="1F2937"/>
                <w:sz w:val="18"/>
              </w:rPr>
              <w:t>Embed a bounded suburb research section</w:t>
            </w:r>
          </w:p>
        </w:tc>
        <w:tc>
          <w:tcPr>
            <w:tcW w:type="dxa" w:w="4810"/>
            <w:vAlign w:val="center"/>
            <w:shd w:fill="F8FAFC"/>
            <w:tcMar>
              <w:top w:w="80" w:type="dxa"/>
              <w:start w:w="120" w:type="dxa"/>
              <w:bottom w:w="80" w:type="dxa"/>
              <w:end w:w="120" w:type="dxa"/>
            </w:tcMar>
          </w:tcPr>
          <w:p>
            <w:pPr>
              <w:spacing w:after="0" w:line="240" w:lineRule="auto"/>
            </w:pPr>
            <w:r>
              <w:rPr>
                <w:rFonts w:ascii="Calibri" w:hAnsi="Calibri"/>
                <w:color w:val="1F2937"/>
                <w:sz w:val="18"/>
              </w:rPr>
              <w:t>Read stable section endpoint with evidence and independent partial/unavailable states</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8"/>
              </w:rPr>
              <w:t>AI-mode</w:t>
            </w:r>
          </w:p>
        </w:tc>
        <w:tc>
          <w:tcPr>
            <w:tcW w:type="dxa" w:w="2850"/>
            <w:vAlign w:val="center"/>
            <w:tcMar>
              <w:top w:w="80" w:type="dxa"/>
              <w:start w:w="120" w:type="dxa"/>
              <w:bottom w:w="80" w:type="dxa"/>
              <w:end w:w="120" w:type="dxa"/>
            </w:tcMar>
          </w:tcPr>
          <w:p>
            <w:pPr>
              <w:spacing w:after="0" w:line="240" w:lineRule="auto"/>
            </w:pPr>
            <w:r>
              <w:rPr>
                <w:rFonts w:ascii="Calibri" w:hAnsi="Calibri"/>
                <w:color w:val="1F2937"/>
                <w:sz w:val="18"/>
              </w:rPr>
              <w:t>Retrieve evidence selected by a bounded plan</w:t>
            </w:r>
          </w:p>
        </w:tc>
        <w:tc>
          <w:tcPr>
            <w:tcW w:type="dxa" w:w="4810"/>
            <w:vAlign w:val="center"/>
            <w:tcMar>
              <w:top w:w="80" w:type="dxa"/>
              <w:start w:w="120" w:type="dxa"/>
              <w:bottom w:w="80" w:type="dxa"/>
              <w:end w:w="120" w:type="dxa"/>
            </w:tcMar>
          </w:tcPr>
          <w:p>
            <w:pPr>
              <w:spacing w:after="0" w:line="240" w:lineRule="auto"/>
            </w:pPr>
            <w:r>
              <w:rPr>
                <w:rFonts w:ascii="Calibri" w:hAnsi="Calibri"/>
                <w:color w:val="1F2937"/>
                <w:sz w:val="18"/>
              </w:rPr>
              <w:t>Call allowlisted read tools only; never receive database credentials</w:t>
            </w:r>
          </w:p>
        </w:tc>
      </w:tr>
    </w:tbl>
    <w:p>
      <w:pPr>
        <w:spacing w:after="40"/>
      </w:pPr>
    </w:p>
    <w:p>
      <w:pPr>
        <w:keepLines/>
        <w:spacing w:before="120" w:after="200" w:line="264" w:lineRule="auto"/>
        <w:ind w:left="173" w:right="86"/>
        <w:shd w:fill="E8EEF5"/>
        <w:pBdr>
          <w:left w:val="single" w:sz="18" w:space="7" w:color="2E74B5"/>
        </w:pBdr>
      </w:pPr>
      <w:r>
        <w:rPr>
          <w:rFonts w:ascii="Calibri" w:hAnsi="Calibri"/>
          <w:b/>
          <w:color w:val="2E74B5"/>
        </w:rPr>
        <w:t xml:space="preserve">Authentication dependency: </w:t>
      </w:r>
      <w:r>
        <w:rPr>
          <w:rFonts w:ascii="Calibri" w:hAnsi="Calibri"/>
          <w:color w:val="1F2937"/>
        </w:rPr>
        <w:t>The repository leaves team identity technology open. Feature 3 should accept an opaque authenticated subject from a reviewed shared identity boundary. Until the team selects OIDC/Azure identity, use a deterministic development principal only in fixture/local modes. Do not create a second password store inside Feature 3.</w:t>
      </w:r>
    </w:p>
    <w:p>
      <w:pPr>
        <w:pStyle w:val="Heading2"/>
      </w:pPr>
      <w:r>
        <w:t>Core user journeys</w:t>
      </w:r>
    </w:p>
    <w:p>
      <w:pPr>
        <w:numPr>
          <w:ilvl w:val="0"/>
          <w:numId w:val="10"/>
        </w:numPr>
        <w:spacing w:after="160" w:line="280" w:lineRule="auto"/>
      </w:pPr>
      <w:r>
        <w:rPr>
          <w:rFonts w:ascii="Calibri" w:hAnsi="Calibri"/>
        </w:rPr>
        <w:t>Explore: search or filter NSW suburbs, switch between list and map, sort only by approved fields, and open a profile.</w:t>
      </w:r>
    </w:p>
    <w:p>
      <w:pPr>
        <w:numPr>
          <w:ilvl w:val="0"/>
          <w:numId w:val="10"/>
        </w:numPr>
        <w:spacing w:after="160" w:line="280" w:lineRule="auto"/>
      </w:pPr>
      <w:r>
        <w:rPr>
          <w:rFonts w:ascii="Calibri" w:hAnsi="Calibri"/>
        </w:rPr>
        <w:t>Inspect: review overview cards, population context, crime trends, amenity access, liveability dimensions, and source/freshness details.</w:t>
      </w:r>
    </w:p>
    <w:p>
      <w:pPr>
        <w:numPr>
          <w:ilvl w:val="0"/>
          <w:numId w:val="10"/>
        </w:numPr>
        <w:spacing w:after="160" w:line="280" w:lineRule="auto"/>
      </w:pPr>
      <w:r>
        <w:rPr>
          <w:rFonts w:ascii="Calibri" w:hAnsi="Calibri"/>
        </w:rPr>
        <w:t>Compare: select two to four suburbs; the backend aligns periods and units, then returns raw values plus cohort-normalised display values.</w:t>
      </w:r>
    </w:p>
    <w:p>
      <w:pPr>
        <w:numPr>
          <w:ilvl w:val="0"/>
          <w:numId w:val="10"/>
        </w:numPr>
        <w:spacing w:after="160" w:line="280" w:lineRule="auto"/>
      </w:pPr>
      <w:r>
        <w:rPr>
          <w:rFonts w:ascii="Calibri" w:hAnsi="Calibri"/>
        </w:rPr>
        <w:t>Save: sign in, create a named list, add/remove a suburb, mark a favourite, edit a note, reorder, and delete with optimistic concurrency.</w:t>
      </w:r>
    </w:p>
    <w:p>
      <w:pPr>
        <w:numPr>
          <w:ilvl w:val="0"/>
          <w:numId w:val="10"/>
        </w:numPr>
        <w:spacing w:after="160" w:line="280" w:lineRule="auto"/>
      </w:pPr>
      <w:r>
        <w:rPr>
          <w:rFonts w:ascii="Calibri" w:hAnsi="Calibri"/>
        </w:rPr>
        <w:t>Explain: request a grounded comparison; AI-mode retrieves only the selected suburbs and returns a concise explanation with evidence references and limitations.</w:t>
      </w:r>
    </w:p>
    <w:p>
      <w:pPr>
        <w:numPr>
          <w:ilvl w:val="0"/>
          <w:numId w:val="10"/>
        </w:numPr>
        <w:spacing w:after="160" w:line="280" w:lineRule="auto"/>
      </w:pPr>
      <w:r>
        <w:rPr>
          <w:rFonts w:ascii="Calibri" w:hAnsi="Calibri"/>
        </w:rPr>
        <w:t>Operate: preview an incoming source release, inspect validation/match statistics, publish atomically, or reject while the previous accepted release stays active.</w:t>
      </w:r>
    </w:p>
    <w:p>
      <w:r>
        <w:br w:type="page"/>
      </w:r>
    </w:p>
    <w:p>
      <w:pPr>
        <w:pStyle w:val="Heading2"/>
      </w:pPr>
      <w:r>
        <w:t>Functional requirement baseline</w:t>
      </w:r>
    </w:p>
    <w:tbl>
      <w:tblPr>
        <w:tblStyle w:val="TableGrid"/>
        <w:tblW w:type="dxa" w:w="9360"/>
        <w:jc w:val="left"/>
        <w:tblLayout w:type="fixed"/>
        <w:tblLook w:firstColumn="1" w:firstRow="1" w:lastColumn="0" w:lastRow="0" w:noHBand="0" w:noVBand="1" w:val="04A0"/>
        <w:tblInd w:w="120" w:type="dxa"/>
      </w:tblPr>
      <w:tblGrid>
        <w:gridCol w:w="1100"/>
        <w:gridCol w:w="3500"/>
        <w:gridCol w:w="4760"/>
      </w:tblGrid>
      <w:tr>
        <w:trPr>
          <w:tblHeader w:val="true"/>
          <w:cantSplit/>
        </w:trPr>
        <w:tc>
          <w:tcPr>
            <w:tcW w:type="dxa" w:w="11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ID</w:t>
            </w:r>
          </w:p>
        </w:tc>
        <w:tc>
          <w:tcPr>
            <w:tcW w:type="dxa" w:w="35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Requirement</w:t>
            </w:r>
          </w:p>
        </w:tc>
        <w:tc>
          <w:tcPr>
            <w:tcW w:type="dxa" w:w="47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Acceptance condition</w:t>
            </w:r>
          </w:p>
        </w:tc>
      </w:tr>
      <w:tr>
        <w:trPr>
          <w:cantSplit/>
        </w:trPr>
        <w:tc>
          <w:tcPr>
            <w:tcW w:type="dxa" w:w="1100"/>
            <w:vAlign w:val="center"/>
            <w:tcMar>
              <w:top w:w="80" w:type="dxa"/>
              <w:start w:w="120" w:type="dxa"/>
              <w:bottom w:w="80" w:type="dxa"/>
              <w:end w:w="120" w:type="dxa"/>
            </w:tcMar>
          </w:tcPr>
          <w:p>
            <w:pPr>
              <w:spacing w:after="0" w:line="240" w:lineRule="auto"/>
            </w:pPr>
            <w:r>
              <w:rPr>
                <w:rFonts w:ascii="Calibri" w:hAnsi="Calibri"/>
                <w:color w:val="1F2937"/>
                <w:sz w:val="17"/>
              </w:rPr>
              <w:t>F3-FR-01</w:t>
            </w:r>
          </w:p>
        </w:tc>
        <w:tc>
          <w:tcPr>
            <w:tcW w:type="dxa" w:w="3500"/>
            <w:vAlign w:val="center"/>
            <w:tcMar>
              <w:top w:w="80" w:type="dxa"/>
              <w:start w:w="120" w:type="dxa"/>
              <w:bottom w:w="80" w:type="dxa"/>
              <w:end w:w="120" w:type="dxa"/>
            </w:tcMar>
          </w:tcPr>
          <w:p>
            <w:pPr>
              <w:spacing w:after="0" w:line="240" w:lineRule="auto"/>
            </w:pPr>
            <w:r>
              <w:rPr>
                <w:rFonts w:ascii="Calibri" w:hAnsi="Calibri"/>
                <w:color w:val="1F2937"/>
                <w:sz w:val="17"/>
              </w:rPr>
              <w:t>Search/filter/sort/paginate suburbs</w:t>
            </w:r>
          </w:p>
        </w:tc>
        <w:tc>
          <w:tcPr>
            <w:tcW w:type="dxa" w:w="4760"/>
            <w:vAlign w:val="center"/>
            <w:tcMar>
              <w:top w:w="80" w:type="dxa"/>
              <w:start w:w="120" w:type="dxa"/>
              <w:bottom w:w="80" w:type="dxa"/>
              <w:end w:w="120" w:type="dxa"/>
            </w:tcMar>
          </w:tcPr>
          <w:p>
            <w:pPr>
              <w:spacing w:after="0" w:line="240" w:lineRule="auto"/>
            </w:pPr>
            <w:r>
              <w:rPr>
                <w:rFonts w:ascii="Calibri" w:hAnsi="Calibri"/>
                <w:color w:val="1F2937"/>
                <w:sz w:val="17"/>
              </w:rPr>
              <w:t>Whitelisted parameters, stable secondary sort, empty state, and total count</w:t>
            </w:r>
          </w:p>
        </w:tc>
      </w:tr>
      <w:tr>
        <w:trPr>
          <w:cantSplit/>
        </w:trPr>
        <w:tc>
          <w:tcPr>
            <w:tcW w:type="dxa" w:w="1100"/>
            <w:vAlign w:val="center"/>
            <w:shd w:fill="F8FAFC"/>
            <w:tcMar>
              <w:top w:w="80" w:type="dxa"/>
              <w:start w:w="120" w:type="dxa"/>
              <w:bottom w:w="80" w:type="dxa"/>
              <w:end w:w="120" w:type="dxa"/>
            </w:tcMar>
          </w:tcPr>
          <w:p>
            <w:pPr>
              <w:spacing w:after="0" w:line="240" w:lineRule="auto"/>
            </w:pPr>
            <w:r>
              <w:rPr>
                <w:rFonts w:ascii="Calibri" w:hAnsi="Calibri"/>
                <w:color w:val="1F2937"/>
                <w:sz w:val="17"/>
              </w:rPr>
              <w:t>F3-FR-02</w:t>
            </w:r>
          </w:p>
        </w:tc>
        <w:tc>
          <w:tcPr>
            <w:tcW w:type="dxa" w:w="3500"/>
            <w:vAlign w:val="center"/>
            <w:shd w:fill="F8FAFC"/>
            <w:tcMar>
              <w:top w:w="80" w:type="dxa"/>
              <w:start w:w="120" w:type="dxa"/>
              <w:bottom w:w="80" w:type="dxa"/>
              <w:end w:w="120" w:type="dxa"/>
            </w:tcMar>
          </w:tcPr>
          <w:p>
            <w:pPr>
              <w:spacing w:after="0" w:line="240" w:lineRule="auto"/>
            </w:pPr>
            <w:r>
              <w:rPr>
                <w:rFonts w:ascii="Calibri" w:hAnsi="Calibri"/>
                <w:color w:val="1F2937"/>
                <w:sz w:val="17"/>
              </w:rPr>
              <w:t>Read suburb profile</w:t>
            </w:r>
          </w:p>
        </w:tc>
        <w:tc>
          <w:tcPr>
            <w:tcW w:type="dxa" w:w="4760"/>
            <w:vAlign w:val="center"/>
            <w:shd w:fill="F8FAFC"/>
            <w:tcMar>
              <w:top w:w="80" w:type="dxa"/>
              <w:start w:w="120" w:type="dxa"/>
              <w:bottom w:w="80" w:type="dxa"/>
              <w:end w:w="120" w:type="dxa"/>
            </w:tcMar>
          </w:tcPr>
          <w:p>
            <w:pPr>
              <w:spacing w:after="0" w:line="240" w:lineRule="auto"/>
            </w:pPr>
            <w:r>
              <w:rPr>
                <w:rFonts w:ascii="Calibri" w:hAnsi="Calibri"/>
                <w:color w:val="1F2937"/>
                <w:sz w:val="17"/>
              </w:rPr>
              <w:t>Identity, overview, indicator, evidence, and freshness sections are independently stateful</w:t>
            </w:r>
          </w:p>
        </w:tc>
      </w:tr>
      <w:tr>
        <w:trPr>
          <w:cantSplit/>
        </w:trPr>
        <w:tc>
          <w:tcPr>
            <w:tcW w:type="dxa" w:w="1100"/>
            <w:vAlign w:val="center"/>
            <w:tcMar>
              <w:top w:w="80" w:type="dxa"/>
              <w:start w:w="120" w:type="dxa"/>
              <w:bottom w:w="80" w:type="dxa"/>
              <w:end w:w="120" w:type="dxa"/>
            </w:tcMar>
          </w:tcPr>
          <w:p>
            <w:pPr>
              <w:spacing w:after="0" w:line="240" w:lineRule="auto"/>
            </w:pPr>
            <w:r>
              <w:rPr>
                <w:rFonts w:ascii="Calibri" w:hAnsi="Calibri"/>
                <w:color w:val="1F2937"/>
                <w:sz w:val="17"/>
              </w:rPr>
              <w:t>F3-FR-03</w:t>
            </w:r>
          </w:p>
        </w:tc>
        <w:tc>
          <w:tcPr>
            <w:tcW w:type="dxa" w:w="3500"/>
            <w:vAlign w:val="center"/>
            <w:tcMar>
              <w:top w:w="80" w:type="dxa"/>
              <w:start w:w="120" w:type="dxa"/>
              <w:bottom w:w="80" w:type="dxa"/>
              <w:end w:w="120" w:type="dxa"/>
            </w:tcMar>
          </w:tcPr>
          <w:p>
            <w:pPr>
              <w:spacing w:after="0" w:line="240" w:lineRule="auto"/>
            </w:pPr>
            <w:r>
              <w:rPr>
                <w:rFonts w:ascii="Calibri" w:hAnsi="Calibri"/>
                <w:color w:val="1F2937"/>
                <w:sz w:val="17"/>
              </w:rPr>
              <w:t>Inspect crime observations</w:t>
            </w:r>
          </w:p>
        </w:tc>
        <w:tc>
          <w:tcPr>
            <w:tcW w:type="dxa" w:w="4760"/>
            <w:vAlign w:val="center"/>
            <w:tcMar>
              <w:top w:w="80" w:type="dxa"/>
              <w:start w:w="120" w:type="dxa"/>
              <w:bottom w:w="80" w:type="dxa"/>
              <w:end w:w="120" w:type="dxa"/>
            </w:tcMar>
          </w:tcPr>
          <w:p>
            <w:pPr>
              <w:spacing w:after="0" w:line="240" w:lineRule="auto"/>
            </w:pPr>
            <w:r>
              <w:rPr>
                <w:rFonts w:ascii="Calibri" w:hAnsi="Calibri"/>
                <w:color w:val="1F2937"/>
                <w:sz w:val="17"/>
              </w:rPr>
              <w:t>Date/offence filters validated; comparable period; counts and qualified rates are distinguishable</w:t>
            </w:r>
          </w:p>
        </w:tc>
      </w:tr>
      <w:tr>
        <w:trPr>
          <w:cantSplit/>
        </w:trPr>
        <w:tc>
          <w:tcPr>
            <w:tcW w:type="dxa" w:w="1100"/>
            <w:vAlign w:val="center"/>
            <w:shd w:fill="F8FAFC"/>
            <w:tcMar>
              <w:top w:w="80" w:type="dxa"/>
              <w:start w:w="120" w:type="dxa"/>
              <w:bottom w:w="80" w:type="dxa"/>
              <w:end w:w="120" w:type="dxa"/>
            </w:tcMar>
          </w:tcPr>
          <w:p>
            <w:pPr>
              <w:spacing w:after="0" w:line="240" w:lineRule="auto"/>
            </w:pPr>
            <w:r>
              <w:rPr>
                <w:rFonts w:ascii="Calibri" w:hAnsi="Calibri"/>
                <w:color w:val="1F2937"/>
                <w:sz w:val="17"/>
              </w:rPr>
              <w:t>F3-FR-04</w:t>
            </w:r>
          </w:p>
        </w:tc>
        <w:tc>
          <w:tcPr>
            <w:tcW w:type="dxa" w:w="3500"/>
            <w:vAlign w:val="center"/>
            <w:shd w:fill="F8FAFC"/>
            <w:tcMar>
              <w:top w:w="80" w:type="dxa"/>
              <w:start w:w="120" w:type="dxa"/>
              <w:bottom w:w="80" w:type="dxa"/>
              <w:end w:w="120" w:type="dxa"/>
            </w:tcMar>
          </w:tcPr>
          <w:p>
            <w:pPr>
              <w:spacing w:after="0" w:line="240" w:lineRule="auto"/>
            </w:pPr>
            <w:r>
              <w:rPr>
                <w:rFonts w:ascii="Calibri" w:hAnsi="Calibri"/>
                <w:color w:val="1F2937"/>
                <w:sz w:val="17"/>
              </w:rPr>
              <w:t>Inspect amenities and map</w:t>
            </w:r>
          </w:p>
        </w:tc>
        <w:tc>
          <w:tcPr>
            <w:tcW w:type="dxa" w:w="4760"/>
            <w:vAlign w:val="center"/>
            <w:shd w:fill="F8FAFC"/>
            <w:tcMar>
              <w:top w:w="80" w:type="dxa"/>
              <w:start w:w="120" w:type="dxa"/>
              <w:bottom w:w="80" w:type="dxa"/>
              <w:end w:w="120" w:type="dxa"/>
            </w:tcMar>
          </w:tcPr>
          <w:p>
            <w:pPr>
              <w:spacing w:after="0" w:line="240" w:lineRule="auto"/>
            </w:pPr>
            <w:r>
              <w:rPr>
                <w:rFonts w:ascii="Calibri" w:hAnsi="Calibri"/>
                <w:color w:val="1F2937"/>
                <w:sz w:val="17"/>
              </w:rPr>
              <w:t>Category filters, bounded GeoJSON, marker clustering, and accessible list/table alternative</w:t>
            </w:r>
          </w:p>
        </w:tc>
      </w:tr>
      <w:tr>
        <w:trPr>
          <w:cantSplit/>
        </w:trPr>
        <w:tc>
          <w:tcPr>
            <w:tcW w:type="dxa" w:w="1100"/>
            <w:vAlign w:val="center"/>
            <w:tcMar>
              <w:top w:w="80" w:type="dxa"/>
              <w:start w:w="120" w:type="dxa"/>
              <w:bottom w:w="80" w:type="dxa"/>
              <w:end w:w="120" w:type="dxa"/>
            </w:tcMar>
          </w:tcPr>
          <w:p>
            <w:pPr>
              <w:spacing w:after="0" w:line="240" w:lineRule="auto"/>
            </w:pPr>
            <w:r>
              <w:rPr>
                <w:rFonts w:ascii="Calibri" w:hAnsi="Calibri"/>
                <w:color w:val="1F2937"/>
                <w:sz w:val="17"/>
              </w:rPr>
              <w:t>F3-FR-05</w:t>
            </w:r>
          </w:p>
        </w:tc>
        <w:tc>
          <w:tcPr>
            <w:tcW w:type="dxa" w:w="3500"/>
            <w:vAlign w:val="center"/>
            <w:tcMar>
              <w:top w:w="80" w:type="dxa"/>
              <w:start w:w="120" w:type="dxa"/>
              <w:bottom w:w="80" w:type="dxa"/>
              <w:end w:w="120" w:type="dxa"/>
            </w:tcMar>
          </w:tcPr>
          <w:p>
            <w:pPr>
              <w:spacing w:after="0" w:line="240" w:lineRule="auto"/>
            </w:pPr>
            <w:r>
              <w:rPr>
                <w:rFonts w:ascii="Calibri" w:hAnsi="Calibri"/>
                <w:color w:val="1F2937"/>
                <w:sz w:val="17"/>
              </w:rPr>
              <w:t>Compare suburbs</w:t>
            </w:r>
          </w:p>
        </w:tc>
        <w:tc>
          <w:tcPr>
            <w:tcW w:type="dxa" w:w="4760"/>
            <w:vAlign w:val="center"/>
            <w:tcMar>
              <w:top w:w="80" w:type="dxa"/>
              <w:start w:w="120" w:type="dxa"/>
              <w:bottom w:w="80" w:type="dxa"/>
              <w:end w:w="120" w:type="dxa"/>
            </w:tcMar>
          </w:tcPr>
          <w:p>
            <w:pPr>
              <w:spacing w:after="0" w:line="240" w:lineRule="auto"/>
            </w:pPr>
            <w:r>
              <w:rPr>
                <w:rFonts w:ascii="Calibri" w:hAnsi="Calibri"/>
                <w:color w:val="1F2937"/>
                <w:sz w:val="17"/>
              </w:rPr>
              <w:t>2-4 unique IDs; same unit/period/method; missing values preserved</w:t>
            </w:r>
          </w:p>
        </w:tc>
      </w:tr>
      <w:tr>
        <w:trPr>
          <w:cantSplit/>
        </w:trPr>
        <w:tc>
          <w:tcPr>
            <w:tcW w:type="dxa" w:w="1100"/>
            <w:vAlign w:val="center"/>
            <w:shd w:fill="F8FAFC"/>
            <w:tcMar>
              <w:top w:w="80" w:type="dxa"/>
              <w:start w:w="120" w:type="dxa"/>
              <w:bottom w:w="80" w:type="dxa"/>
              <w:end w:w="120" w:type="dxa"/>
            </w:tcMar>
          </w:tcPr>
          <w:p>
            <w:pPr>
              <w:spacing w:after="0" w:line="240" w:lineRule="auto"/>
            </w:pPr>
            <w:r>
              <w:rPr>
                <w:rFonts w:ascii="Calibri" w:hAnsi="Calibri"/>
                <w:color w:val="1F2937"/>
                <w:sz w:val="17"/>
              </w:rPr>
              <w:t>F3-FR-06</w:t>
            </w:r>
          </w:p>
        </w:tc>
        <w:tc>
          <w:tcPr>
            <w:tcW w:type="dxa" w:w="3500"/>
            <w:vAlign w:val="center"/>
            <w:shd w:fill="F8FAFC"/>
            <w:tcMar>
              <w:top w:w="80" w:type="dxa"/>
              <w:start w:w="120" w:type="dxa"/>
              <w:bottom w:w="80" w:type="dxa"/>
              <w:end w:w="120" w:type="dxa"/>
            </w:tcMar>
          </w:tcPr>
          <w:p>
            <w:pPr>
              <w:spacing w:after="0" w:line="240" w:lineRule="auto"/>
            </w:pPr>
            <w:r>
              <w:rPr>
                <w:rFonts w:ascii="Calibri" w:hAnsi="Calibri"/>
                <w:color w:val="1F2937"/>
                <w:sz w:val="17"/>
              </w:rPr>
              <w:t>Saved-list and favourite CRUD</w:t>
            </w:r>
          </w:p>
        </w:tc>
        <w:tc>
          <w:tcPr>
            <w:tcW w:type="dxa" w:w="4760"/>
            <w:vAlign w:val="center"/>
            <w:shd w:fill="F8FAFC"/>
            <w:tcMar>
              <w:top w:w="80" w:type="dxa"/>
              <w:start w:w="120" w:type="dxa"/>
              <w:bottom w:w="80" w:type="dxa"/>
              <w:end w:w="120" w:type="dxa"/>
            </w:tcMar>
          </w:tcPr>
          <w:p>
            <w:pPr>
              <w:spacing w:after="0" w:line="240" w:lineRule="auto"/>
            </w:pPr>
            <w:r>
              <w:rPr>
                <w:rFonts w:ascii="Calibri" w:hAnsi="Calibri"/>
                <w:color w:val="1F2937"/>
                <w:sz w:val="17"/>
              </w:rPr>
              <w:t>Authenticated ownership, If-Match versioning, conflict response, and private notes</w:t>
            </w:r>
          </w:p>
        </w:tc>
      </w:tr>
      <w:tr>
        <w:trPr>
          <w:cantSplit/>
        </w:trPr>
        <w:tc>
          <w:tcPr>
            <w:tcW w:type="dxa" w:w="1100"/>
            <w:vAlign w:val="center"/>
            <w:tcMar>
              <w:top w:w="80" w:type="dxa"/>
              <w:start w:w="120" w:type="dxa"/>
              <w:bottom w:w="80" w:type="dxa"/>
              <w:end w:w="120" w:type="dxa"/>
            </w:tcMar>
          </w:tcPr>
          <w:p>
            <w:pPr>
              <w:spacing w:after="0" w:line="240" w:lineRule="auto"/>
            </w:pPr>
            <w:r>
              <w:rPr>
                <w:rFonts w:ascii="Calibri" w:hAnsi="Calibri"/>
                <w:color w:val="1F2937"/>
                <w:sz w:val="17"/>
              </w:rPr>
              <w:t>F3-FR-07</w:t>
            </w:r>
          </w:p>
        </w:tc>
        <w:tc>
          <w:tcPr>
            <w:tcW w:type="dxa" w:w="3500"/>
            <w:vAlign w:val="center"/>
            <w:tcMar>
              <w:top w:w="80" w:type="dxa"/>
              <w:start w:w="120" w:type="dxa"/>
              <w:bottom w:w="80" w:type="dxa"/>
              <w:end w:w="120" w:type="dxa"/>
            </w:tcMar>
          </w:tcPr>
          <w:p>
            <w:pPr>
              <w:spacing w:after="0" w:line="240" w:lineRule="auto"/>
            </w:pPr>
            <w:r>
              <w:rPr>
                <w:rFonts w:ascii="Calibri" w:hAnsi="Calibri"/>
                <w:color w:val="1F2937"/>
                <w:sz w:val="17"/>
              </w:rPr>
              <w:t>Ingest approved datasets</w:t>
            </w:r>
          </w:p>
        </w:tc>
        <w:tc>
          <w:tcPr>
            <w:tcW w:type="dxa" w:w="4760"/>
            <w:vAlign w:val="center"/>
            <w:tcMar>
              <w:top w:w="80" w:type="dxa"/>
              <w:start w:w="120" w:type="dxa"/>
              <w:bottom w:w="80" w:type="dxa"/>
              <w:end w:w="120" w:type="dxa"/>
            </w:tcMar>
          </w:tcPr>
          <w:p>
            <w:pPr>
              <w:spacing w:after="0" w:line="240" w:lineRule="auto"/>
            </w:pPr>
            <w:r>
              <w:rPr>
                <w:rFonts w:ascii="Calibri" w:hAnsi="Calibri"/>
                <w:color w:val="1F2937"/>
                <w:sz w:val="17"/>
              </w:rPr>
              <w:t>Checksum, schema, count, geography match, quality thresholds, atomic publish, rollback</w:t>
            </w:r>
          </w:p>
        </w:tc>
      </w:tr>
      <w:tr>
        <w:trPr>
          <w:cantSplit/>
        </w:trPr>
        <w:tc>
          <w:tcPr>
            <w:tcW w:type="dxa" w:w="1100"/>
            <w:vAlign w:val="center"/>
            <w:shd w:fill="F8FAFC"/>
            <w:tcMar>
              <w:top w:w="80" w:type="dxa"/>
              <w:start w:w="120" w:type="dxa"/>
              <w:bottom w:w="80" w:type="dxa"/>
              <w:end w:w="120" w:type="dxa"/>
            </w:tcMar>
          </w:tcPr>
          <w:p>
            <w:pPr>
              <w:spacing w:after="0" w:line="240" w:lineRule="auto"/>
            </w:pPr>
            <w:r>
              <w:rPr>
                <w:rFonts w:ascii="Calibri" w:hAnsi="Calibri"/>
                <w:color w:val="1F2937"/>
                <w:sz w:val="17"/>
              </w:rPr>
              <w:t>F3-FR-08</w:t>
            </w:r>
          </w:p>
        </w:tc>
        <w:tc>
          <w:tcPr>
            <w:tcW w:type="dxa" w:w="3500"/>
            <w:vAlign w:val="center"/>
            <w:shd w:fill="F8FAFC"/>
            <w:tcMar>
              <w:top w:w="80" w:type="dxa"/>
              <w:start w:w="120" w:type="dxa"/>
              <w:bottom w:w="80" w:type="dxa"/>
              <w:end w:w="120" w:type="dxa"/>
            </w:tcMar>
          </w:tcPr>
          <w:p>
            <w:pPr>
              <w:spacing w:after="0" w:line="240" w:lineRule="auto"/>
            </w:pPr>
            <w:r>
              <w:rPr>
                <w:rFonts w:ascii="Calibri" w:hAnsi="Calibri"/>
                <w:color w:val="1F2937"/>
                <w:sz w:val="17"/>
              </w:rPr>
              <w:t>Start and inspect an AI task</w:t>
            </w:r>
          </w:p>
        </w:tc>
        <w:tc>
          <w:tcPr>
            <w:tcW w:type="dxa" w:w="4760"/>
            <w:vAlign w:val="center"/>
            <w:shd w:fill="F8FAFC"/>
            <w:tcMar>
              <w:top w:w="80" w:type="dxa"/>
              <w:start w:w="120" w:type="dxa"/>
              <w:bottom w:w="80" w:type="dxa"/>
              <w:end w:w="120" w:type="dxa"/>
            </w:tcMar>
          </w:tcPr>
          <w:p>
            <w:pPr>
              <w:spacing w:after="0" w:line="240" w:lineRule="auto"/>
            </w:pPr>
            <w:r>
              <w:rPr>
                <w:rFonts w:ascii="Calibri" w:hAnsi="Calibri"/>
                <w:color w:val="1F2937"/>
                <w:sz w:val="17"/>
              </w:rPr>
              <w:t>Validated suburb IDs, bounded tool allowlist, cited facts, explicit model-unavailable state</w:t>
            </w:r>
          </w:p>
        </w:tc>
      </w:tr>
      <w:tr>
        <w:trPr>
          <w:cantSplit/>
        </w:trPr>
        <w:tc>
          <w:tcPr>
            <w:tcW w:type="dxa" w:w="1100"/>
            <w:vAlign w:val="center"/>
            <w:tcMar>
              <w:top w:w="80" w:type="dxa"/>
              <w:start w:w="120" w:type="dxa"/>
              <w:bottom w:w="80" w:type="dxa"/>
              <w:end w:w="120" w:type="dxa"/>
            </w:tcMar>
          </w:tcPr>
          <w:p>
            <w:pPr>
              <w:spacing w:after="0" w:line="240" w:lineRule="auto"/>
            </w:pPr>
            <w:r>
              <w:rPr>
                <w:rFonts w:ascii="Calibri" w:hAnsi="Calibri"/>
                <w:color w:val="1F2937"/>
                <w:sz w:val="17"/>
              </w:rPr>
              <w:t>F3-FR-09</w:t>
            </w:r>
          </w:p>
        </w:tc>
        <w:tc>
          <w:tcPr>
            <w:tcW w:type="dxa" w:w="3500"/>
            <w:vAlign w:val="center"/>
            <w:tcMar>
              <w:top w:w="80" w:type="dxa"/>
              <w:start w:w="120" w:type="dxa"/>
              <w:bottom w:w="80" w:type="dxa"/>
              <w:end w:w="120" w:type="dxa"/>
            </w:tcMar>
          </w:tcPr>
          <w:p>
            <w:pPr>
              <w:spacing w:after="0" w:line="240" w:lineRule="auto"/>
            </w:pPr>
            <w:r>
              <w:rPr>
                <w:rFonts w:ascii="Calibri" w:hAnsi="Calibri"/>
                <w:color w:val="1F2937"/>
                <w:sz w:val="17"/>
              </w:rPr>
              <w:t>Expose source/method detail</w:t>
            </w:r>
          </w:p>
        </w:tc>
        <w:tc>
          <w:tcPr>
            <w:tcW w:type="dxa" w:w="4760"/>
            <w:vAlign w:val="center"/>
            <w:tcMar>
              <w:top w:w="80" w:type="dxa"/>
              <w:start w:w="120" w:type="dxa"/>
              <w:bottom w:w="80" w:type="dxa"/>
              <w:end w:w="120" w:type="dxa"/>
            </w:tcMar>
          </w:tcPr>
          <w:p>
            <w:pPr>
              <w:spacing w:after="0" w:line="240" w:lineRule="auto"/>
            </w:pPr>
            <w:r>
              <w:rPr>
                <w:rFonts w:ascii="Calibri" w:hAnsi="Calibri"/>
                <w:color w:val="1F2937"/>
                <w:sz w:val="17"/>
              </w:rPr>
              <w:t>Publisher link, release/effective dates, transform version, coverage and limitations</w:t>
            </w:r>
          </w:p>
        </w:tc>
      </w:tr>
    </w:tbl>
    <w:p>
      <w:pPr>
        <w:spacing w:after="40"/>
      </w:pPr>
    </w:p>
    <w:p>
      <w:r>
        <w:br w:type="page"/>
      </w:r>
    </w:p>
    <w:p>
      <w:pPr>
        <w:pStyle w:val="Heading1"/>
      </w:pPr>
      <w:r>
        <w:t>Experience architecture, views, and visualisations</w:t>
      </w:r>
    </w:p>
    <w:p>
      <w:r>
        <w:rPr>
          <w:rFonts w:ascii="Calibri" w:hAnsi="Calibri"/>
        </w:rPr>
        <w:t>The canonical frontend base is /features/suburb-analytics/ with the initial hash route #suburbs. The shared header remains product-wide; Feature 3 keeps a compact local navigation for Explore, Compare, Saved, and Data status. Cross-feature links carry only opaque identifiers or the state/locality pair.</w:t>
      </w:r>
    </w:p>
    <w:p>
      <w:pPr>
        <w:pStyle w:val="Heading2"/>
      </w:pPr>
      <w:r>
        <w:t>View inventory</w:t>
      </w:r>
    </w:p>
    <w:tbl>
      <w:tblPr>
        <w:tblStyle w:val="TableGrid"/>
        <w:tblW w:type="dxa" w:w="9360"/>
        <w:jc w:val="left"/>
        <w:tblLayout w:type="fixed"/>
        <w:tblLook w:firstColumn="1" w:firstRow="1" w:lastColumn="0" w:lastRow="0" w:noHBand="0" w:noVBand="1" w:val="04A0"/>
        <w:tblInd w:w="120" w:type="dxa"/>
      </w:tblPr>
      <w:tblGrid>
        <w:gridCol w:w="1750"/>
        <w:gridCol w:w="2050"/>
        <w:gridCol w:w="3200"/>
        <w:gridCol w:w="2360"/>
      </w:tblGrid>
      <w:tr>
        <w:trPr>
          <w:tblHeader w:val="true"/>
          <w:cantSplit/>
        </w:trPr>
        <w:tc>
          <w:tcPr>
            <w:tcW w:type="dxa" w:w="175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View / route</w:t>
            </w:r>
          </w:p>
        </w:tc>
        <w:tc>
          <w:tcPr>
            <w:tcW w:type="dxa" w:w="205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Primary job</w:t>
            </w:r>
          </w:p>
        </w:tc>
        <w:tc>
          <w:tcPr>
            <w:tcW w:type="dxa" w:w="32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Key components</w:t>
            </w:r>
          </w:p>
        </w:tc>
        <w:tc>
          <w:tcPr>
            <w:tcW w:type="dxa" w:w="23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States</w:t>
            </w:r>
          </w:p>
        </w:tc>
      </w:tr>
      <w:tr>
        <w:trPr>
          <w:cantSplit/>
        </w:trPr>
        <w:tc>
          <w:tcPr>
            <w:tcW w:type="dxa" w:w="1750"/>
            <w:vAlign w:val="center"/>
            <w:tcMar>
              <w:top w:w="80" w:type="dxa"/>
              <w:start w:w="120" w:type="dxa"/>
              <w:bottom w:w="80" w:type="dxa"/>
              <w:end w:w="120" w:type="dxa"/>
            </w:tcMar>
          </w:tcPr>
          <w:p>
            <w:pPr>
              <w:spacing w:after="0" w:line="240" w:lineRule="auto"/>
            </w:pPr>
            <w:r>
              <w:rPr>
                <w:rFonts w:ascii="Calibri" w:hAnsi="Calibri"/>
                <w:color w:val="1F2937"/>
                <w:sz w:val="16"/>
              </w:rPr>
              <w:t>Explore / #suburbs</w:t>
            </w:r>
          </w:p>
        </w:tc>
        <w:tc>
          <w:tcPr>
            <w:tcW w:type="dxa" w:w="2050"/>
            <w:vAlign w:val="center"/>
            <w:tcMar>
              <w:top w:w="80" w:type="dxa"/>
              <w:start w:w="120" w:type="dxa"/>
              <w:bottom w:w="80" w:type="dxa"/>
              <w:end w:w="120" w:type="dxa"/>
            </w:tcMar>
          </w:tcPr>
          <w:p>
            <w:pPr>
              <w:spacing w:after="0" w:line="240" w:lineRule="auto"/>
            </w:pPr>
            <w:r>
              <w:rPr>
                <w:rFonts w:ascii="Calibri" w:hAnsi="Calibri"/>
                <w:color w:val="1F2937"/>
                <w:sz w:val="16"/>
              </w:rPr>
              <w:t>Find and shortlist suburbs</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6"/>
              </w:rPr>
              <w:t>Search; filter drawer; sortable result table/cards; choropleth/list-map toggle; compare tray</w:t>
            </w:r>
          </w:p>
        </w:tc>
        <w:tc>
          <w:tcPr>
            <w:tcW w:type="dxa" w:w="2360"/>
            <w:vAlign w:val="center"/>
            <w:tcMar>
              <w:top w:w="80" w:type="dxa"/>
              <w:start w:w="120" w:type="dxa"/>
              <w:bottom w:w="80" w:type="dxa"/>
              <w:end w:w="120" w:type="dxa"/>
            </w:tcMar>
          </w:tcPr>
          <w:p>
            <w:pPr>
              <w:spacing w:after="0" w:line="240" w:lineRule="auto"/>
            </w:pPr>
            <w:r>
              <w:rPr>
                <w:rFonts w:ascii="Calibri" w:hAnsi="Calibri"/>
                <w:color w:val="1F2937"/>
                <w:sz w:val="16"/>
              </w:rPr>
              <w:t>Loading, empty, partial coverage, invalid filter, unavailable</w:t>
            </w:r>
          </w:p>
        </w:tc>
      </w:tr>
      <w:tr>
        <w:trPr>
          <w:cantSplit/>
        </w:trPr>
        <w:tc>
          <w:tcPr>
            <w:tcW w:type="dxa" w:w="1750"/>
            <w:vAlign w:val="center"/>
            <w:shd w:fill="F8FAFC"/>
            <w:tcMar>
              <w:top w:w="80" w:type="dxa"/>
              <w:start w:w="120" w:type="dxa"/>
              <w:bottom w:w="80" w:type="dxa"/>
              <w:end w:w="120" w:type="dxa"/>
            </w:tcMar>
          </w:tcPr>
          <w:p>
            <w:pPr>
              <w:spacing w:after="0" w:line="240" w:lineRule="auto"/>
            </w:pPr>
            <w:r>
              <w:rPr>
                <w:rFonts w:ascii="Calibri" w:hAnsi="Calibri"/>
                <w:color w:val="1F2937"/>
                <w:sz w:val="16"/>
              </w:rPr>
              <w:t>Profile / #suburb?suburb_id=...</w:t>
            </w:r>
          </w:p>
        </w:tc>
        <w:tc>
          <w:tcPr>
            <w:tcW w:type="dxa" w:w="2050"/>
            <w:vAlign w:val="center"/>
            <w:shd w:fill="F8FAFC"/>
            <w:tcMar>
              <w:top w:w="80" w:type="dxa"/>
              <w:start w:w="120" w:type="dxa"/>
              <w:bottom w:w="80" w:type="dxa"/>
              <w:end w:w="120" w:type="dxa"/>
            </w:tcMar>
          </w:tcPr>
          <w:p>
            <w:pPr>
              <w:spacing w:after="0" w:line="240" w:lineRule="auto"/>
            </w:pPr>
            <w:r>
              <w:rPr>
                <w:rFonts w:ascii="Calibri" w:hAnsi="Calibri"/>
                <w:color w:val="1F2937"/>
                <w:sz w:val="16"/>
              </w:rPr>
              <w:t>Understand one suburb</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6"/>
              </w:rPr>
              <w:t>Identity header; freshness strip; overview cards; dimension profile; crime/amenity previews; source drawer</w:t>
            </w:r>
          </w:p>
        </w:tc>
        <w:tc>
          <w:tcPr>
            <w:tcW w:type="dxa" w:w="2360"/>
            <w:vAlign w:val="center"/>
            <w:shd w:fill="F8FAFC"/>
            <w:tcMar>
              <w:top w:w="80" w:type="dxa"/>
              <w:start w:w="120" w:type="dxa"/>
              <w:bottom w:w="80" w:type="dxa"/>
              <w:end w:w="120" w:type="dxa"/>
            </w:tcMar>
          </w:tcPr>
          <w:p>
            <w:pPr>
              <w:spacing w:after="0" w:line="240" w:lineRule="auto"/>
            </w:pPr>
            <w:r>
              <w:rPr>
                <w:rFonts w:ascii="Calibri" w:hAnsi="Calibri"/>
                <w:color w:val="1F2937"/>
                <w:sz w:val="16"/>
              </w:rPr>
              <w:t>Observed, partial, stale, unavailable per section</w:t>
            </w:r>
          </w:p>
        </w:tc>
      </w:tr>
      <w:tr>
        <w:trPr>
          <w:cantSplit/>
        </w:trPr>
        <w:tc>
          <w:tcPr>
            <w:tcW w:type="dxa" w:w="1750"/>
            <w:vAlign w:val="center"/>
            <w:tcMar>
              <w:top w:w="80" w:type="dxa"/>
              <w:start w:w="120" w:type="dxa"/>
              <w:bottom w:w="80" w:type="dxa"/>
              <w:end w:w="120" w:type="dxa"/>
            </w:tcMar>
          </w:tcPr>
          <w:p>
            <w:pPr>
              <w:spacing w:after="0" w:line="240" w:lineRule="auto"/>
            </w:pPr>
            <w:r>
              <w:rPr>
                <w:rFonts w:ascii="Calibri" w:hAnsi="Calibri"/>
                <w:color w:val="1F2937"/>
                <w:sz w:val="16"/>
              </w:rPr>
              <w:t>Crime / profile tab</w:t>
            </w:r>
          </w:p>
        </w:tc>
        <w:tc>
          <w:tcPr>
            <w:tcW w:type="dxa" w:w="2050"/>
            <w:vAlign w:val="center"/>
            <w:tcMar>
              <w:top w:w="80" w:type="dxa"/>
              <w:start w:w="120" w:type="dxa"/>
              <w:bottom w:w="80" w:type="dxa"/>
              <w:end w:w="120" w:type="dxa"/>
            </w:tcMar>
          </w:tcPr>
          <w:p>
            <w:pPr>
              <w:spacing w:after="0" w:line="240" w:lineRule="auto"/>
            </w:pPr>
            <w:r>
              <w:rPr>
                <w:rFonts w:ascii="Calibri" w:hAnsi="Calibri"/>
                <w:color w:val="1F2937"/>
                <w:sz w:val="16"/>
              </w:rPr>
              <w:t>Explore recorded incidents</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6"/>
              </w:rPr>
              <w:t>Period/offence controls; trend; category bars; benchmark; raw-data table</w:t>
            </w:r>
          </w:p>
        </w:tc>
        <w:tc>
          <w:tcPr>
            <w:tcW w:type="dxa" w:w="2360"/>
            <w:vAlign w:val="center"/>
            <w:tcMar>
              <w:top w:w="80" w:type="dxa"/>
              <w:start w:w="120" w:type="dxa"/>
              <w:bottom w:w="80" w:type="dxa"/>
              <w:end w:w="120" w:type="dxa"/>
            </w:tcMar>
          </w:tcPr>
          <w:p>
            <w:pPr>
              <w:spacing w:after="0" w:line="240" w:lineRule="auto"/>
            </w:pPr>
            <w:r>
              <w:rPr>
                <w:rFonts w:ascii="Calibri" w:hAnsi="Calibri"/>
                <w:color w:val="1F2937"/>
                <w:sz w:val="16"/>
              </w:rPr>
              <w:t>No records is distinct from zero and from source unavailable</w:t>
            </w:r>
          </w:p>
        </w:tc>
      </w:tr>
      <w:tr>
        <w:trPr>
          <w:cantSplit/>
        </w:trPr>
        <w:tc>
          <w:tcPr>
            <w:tcW w:type="dxa" w:w="1750"/>
            <w:vAlign w:val="center"/>
            <w:shd w:fill="F8FAFC"/>
            <w:tcMar>
              <w:top w:w="80" w:type="dxa"/>
              <w:start w:w="120" w:type="dxa"/>
              <w:bottom w:w="80" w:type="dxa"/>
              <w:end w:w="120" w:type="dxa"/>
            </w:tcMar>
          </w:tcPr>
          <w:p>
            <w:pPr>
              <w:spacing w:after="0" w:line="240" w:lineRule="auto"/>
            </w:pPr>
            <w:r>
              <w:rPr>
                <w:rFonts w:ascii="Calibri" w:hAnsi="Calibri"/>
                <w:color w:val="1F2937"/>
                <w:sz w:val="16"/>
              </w:rPr>
              <w:t>Amenities / profile tab</w:t>
            </w:r>
          </w:p>
        </w:tc>
        <w:tc>
          <w:tcPr>
            <w:tcW w:type="dxa" w:w="2050"/>
            <w:vAlign w:val="center"/>
            <w:shd w:fill="F8FAFC"/>
            <w:tcMar>
              <w:top w:w="80" w:type="dxa"/>
              <w:start w:w="120" w:type="dxa"/>
              <w:bottom w:w="80" w:type="dxa"/>
              <w:end w:w="120" w:type="dxa"/>
            </w:tcMar>
          </w:tcPr>
          <w:p>
            <w:pPr>
              <w:spacing w:after="0" w:line="240" w:lineRule="auto"/>
            </w:pPr>
            <w:r>
              <w:rPr>
                <w:rFonts w:ascii="Calibri" w:hAnsi="Calibri"/>
                <w:color w:val="1F2937"/>
                <w:sz w:val="16"/>
              </w:rPr>
              <w:t>Inspect nearby services</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6"/>
              </w:rPr>
              <w:t>Category chips; clustered map; result list; distance and count summaries</w:t>
            </w:r>
          </w:p>
        </w:tc>
        <w:tc>
          <w:tcPr>
            <w:tcW w:type="dxa" w:w="2360"/>
            <w:vAlign w:val="center"/>
            <w:shd w:fill="F8FAFC"/>
            <w:tcMar>
              <w:top w:w="80" w:type="dxa"/>
              <w:start w:w="120" w:type="dxa"/>
              <w:bottom w:w="80" w:type="dxa"/>
              <w:end w:w="120" w:type="dxa"/>
            </w:tcMar>
          </w:tcPr>
          <w:p>
            <w:pPr>
              <w:spacing w:after="0" w:line="240" w:lineRule="auto"/>
            </w:pPr>
            <w:r>
              <w:rPr>
                <w:rFonts w:ascii="Calibri" w:hAnsi="Calibri"/>
                <w:color w:val="1F2937"/>
                <w:sz w:val="16"/>
              </w:rPr>
              <w:t>Coverage-limited warning where statewide source is incomplete</w:t>
            </w:r>
          </w:p>
        </w:tc>
      </w:tr>
      <w:tr>
        <w:trPr>
          <w:cantSplit/>
        </w:trPr>
        <w:tc>
          <w:tcPr>
            <w:tcW w:type="dxa" w:w="1750"/>
            <w:vAlign w:val="center"/>
            <w:tcMar>
              <w:top w:w="80" w:type="dxa"/>
              <w:start w:w="120" w:type="dxa"/>
              <w:bottom w:w="80" w:type="dxa"/>
              <w:end w:w="120" w:type="dxa"/>
            </w:tcMar>
          </w:tcPr>
          <w:p>
            <w:pPr>
              <w:spacing w:after="0" w:line="240" w:lineRule="auto"/>
            </w:pPr>
            <w:r>
              <w:rPr>
                <w:rFonts w:ascii="Calibri" w:hAnsi="Calibri"/>
                <w:color w:val="1F2937"/>
                <w:sz w:val="16"/>
              </w:rPr>
              <w:t>Compare / #compare</w:t>
            </w:r>
          </w:p>
        </w:tc>
        <w:tc>
          <w:tcPr>
            <w:tcW w:type="dxa" w:w="2050"/>
            <w:vAlign w:val="center"/>
            <w:tcMar>
              <w:top w:w="80" w:type="dxa"/>
              <w:start w:w="120" w:type="dxa"/>
              <w:bottom w:w="80" w:type="dxa"/>
              <w:end w:w="120" w:type="dxa"/>
            </w:tcMar>
          </w:tcPr>
          <w:p>
            <w:pPr>
              <w:spacing w:after="0" w:line="240" w:lineRule="auto"/>
            </w:pPr>
            <w:r>
              <w:rPr>
                <w:rFonts w:ascii="Calibri" w:hAnsi="Calibri"/>
                <w:color w:val="1F2937"/>
                <w:sz w:val="16"/>
              </w:rPr>
              <w:t>Compare 2-4 aligned suburbs</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6"/>
              </w:rPr>
              <w:t>Metric selector; aligned dot plot; raw-value table; source and method panel</w:t>
            </w:r>
          </w:p>
        </w:tc>
        <w:tc>
          <w:tcPr>
            <w:tcW w:type="dxa" w:w="2360"/>
            <w:vAlign w:val="center"/>
            <w:tcMar>
              <w:top w:w="80" w:type="dxa"/>
              <w:start w:w="120" w:type="dxa"/>
              <w:bottom w:w="80" w:type="dxa"/>
              <w:end w:w="120" w:type="dxa"/>
            </w:tcMar>
          </w:tcPr>
          <w:p>
            <w:pPr>
              <w:spacing w:after="0" w:line="240" w:lineRule="auto"/>
            </w:pPr>
            <w:r>
              <w:rPr>
                <w:rFonts w:ascii="Calibri" w:hAnsi="Calibri"/>
                <w:color w:val="1F2937"/>
                <w:sz w:val="16"/>
              </w:rPr>
              <w:t>Reject non-comparable period/unit/method</w:t>
            </w:r>
          </w:p>
        </w:tc>
      </w:tr>
      <w:tr>
        <w:trPr>
          <w:cantSplit/>
        </w:trPr>
        <w:tc>
          <w:tcPr>
            <w:tcW w:type="dxa" w:w="1750"/>
            <w:vAlign w:val="center"/>
            <w:shd w:fill="F8FAFC"/>
            <w:tcMar>
              <w:top w:w="80" w:type="dxa"/>
              <w:start w:w="120" w:type="dxa"/>
              <w:bottom w:w="80" w:type="dxa"/>
              <w:end w:w="120" w:type="dxa"/>
            </w:tcMar>
          </w:tcPr>
          <w:p>
            <w:pPr>
              <w:spacing w:after="0" w:line="240" w:lineRule="auto"/>
            </w:pPr>
            <w:r>
              <w:rPr>
                <w:rFonts w:ascii="Calibri" w:hAnsi="Calibri"/>
                <w:color w:val="1F2937"/>
                <w:sz w:val="16"/>
              </w:rPr>
              <w:t>Saved / #saved</w:t>
            </w:r>
          </w:p>
        </w:tc>
        <w:tc>
          <w:tcPr>
            <w:tcW w:type="dxa" w:w="2050"/>
            <w:vAlign w:val="center"/>
            <w:shd w:fill="F8FAFC"/>
            <w:tcMar>
              <w:top w:w="80" w:type="dxa"/>
              <w:start w:w="120" w:type="dxa"/>
              <w:bottom w:w="80" w:type="dxa"/>
              <w:end w:w="120" w:type="dxa"/>
            </w:tcMar>
          </w:tcPr>
          <w:p>
            <w:pPr>
              <w:spacing w:after="0" w:line="240" w:lineRule="auto"/>
            </w:pPr>
            <w:r>
              <w:rPr>
                <w:rFonts w:ascii="Calibri" w:hAnsi="Calibri"/>
                <w:color w:val="1F2937"/>
                <w:sz w:val="16"/>
              </w:rPr>
              <w:t>Manage personal research lists</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6"/>
              </w:rPr>
              <w:t>List CRUD; favourite toggle; notes; reorder; remove; open compare</w:t>
            </w:r>
          </w:p>
        </w:tc>
        <w:tc>
          <w:tcPr>
            <w:tcW w:type="dxa" w:w="2360"/>
            <w:vAlign w:val="center"/>
            <w:shd w:fill="F8FAFC"/>
            <w:tcMar>
              <w:top w:w="80" w:type="dxa"/>
              <w:start w:w="120" w:type="dxa"/>
              <w:bottom w:w="80" w:type="dxa"/>
              <w:end w:w="120" w:type="dxa"/>
            </w:tcMar>
          </w:tcPr>
          <w:p>
            <w:pPr>
              <w:spacing w:after="0" w:line="240" w:lineRule="auto"/>
            </w:pPr>
            <w:r>
              <w:rPr>
                <w:rFonts w:ascii="Calibri" w:hAnsi="Calibri"/>
                <w:color w:val="1F2937"/>
                <w:sz w:val="16"/>
              </w:rPr>
              <w:t>Signed-out prompt, conflict, empty list, deletion confirmation</w:t>
            </w:r>
          </w:p>
        </w:tc>
      </w:tr>
      <w:tr>
        <w:trPr>
          <w:cantSplit/>
        </w:trPr>
        <w:tc>
          <w:tcPr>
            <w:tcW w:type="dxa" w:w="1750"/>
            <w:vAlign w:val="center"/>
            <w:tcMar>
              <w:top w:w="80" w:type="dxa"/>
              <w:start w:w="120" w:type="dxa"/>
              <w:bottom w:w="80" w:type="dxa"/>
              <w:end w:w="120" w:type="dxa"/>
            </w:tcMar>
          </w:tcPr>
          <w:p>
            <w:pPr>
              <w:spacing w:after="0" w:line="240" w:lineRule="auto"/>
            </w:pPr>
            <w:r>
              <w:rPr>
                <w:rFonts w:ascii="Calibri" w:hAnsi="Calibri"/>
                <w:color w:val="1F2937"/>
                <w:sz w:val="16"/>
              </w:rPr>
              <w:t>Data status / #data-status</w:t>
            </w:r>
          </w:p>
        </w:tc>
        <w:tc>
          <w:tcPr>
            <w:tcW w:type="dxa" w:w="2050"/>
            <w:vAlign w:val="center"/>
            <w:tcMar>
              <w:top w:w="80" w:type="dxa"/>
              <w:start w:w="120" w:type="dxa"/>
              <w:bottom w:w="80" w:type="dxa"/>
              <w:end w:w="120" w:type="dxa"/>
            </w:tcMar>
          </w:tcPr>
          <w:p>
            <w:pPr>
              <w:spacing w:after="0" w:line="240" w:lineRule="auto"/>
            </w:pPr>
            <w:r>
              <w:rPr>
                <w:rFonts w:ascii="Calibri" w:hAnsi="Calibri"/>
                <w:color w:val="1F2937"/>
                <w:sz w:val="16"/>
              </w:rPr>
              <w:t>Inspect freshness and quality</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6"/>
              </w:rPr>
              <w:t>Dataset cards; accepted release; coverage; latest run; validation report</w:t>
            </w:r>
          </w:p>
        </w:tc>
        <w:tc>
          <w:tcPr>
            <w:tcW w:type="dxa" w:w="2360"/>
            <w:vAlign w:val="center"/>
            <w:tcMar>
              <w:top w:w="80" w:type="dxa"/>
              <w:start w:w="120" w:type="dxa"/>
              <w:bottom w:w="80" w:type="dxa"/>
              <w:end w:w="120" w:type="dxa"/>
            </w:tcMar>
          </w:tcPr>
          <w:p>
            <w:pPr>
              <w:spacing w:after="0" w:line="240" w:lineRule="auto"/>
            </w:pPr>
            <w:r>
              <w:rPr>
                <w:rFonts w:ascii="Calibri" w:hAnsi="Calibri"/>
                <w:color w:val="1F2937"/>
                <w:sz w:val="16"/>
              </w:rPr>
              <w:t>Public summary; operator controls require role</w:t>
            </w:r>
          </w:p>
        </w:tc>
      </w:tr>
      <w:tr>
        <w:trPr>
          <w:cantSplit/>
        </w:trPr>
        <w:tc>
          <w:tcPr>
            <w:tcW w:type="dxa" w:w="1750"/>
            <w:vAlign w:val="center"/>
            <w:shd w:fill="F8FAFC"/>
            <w:tcMar>
              <w:top w:w="80" w:type="dxa"/>
              <w:start w:w="120" w:type="dxa"/>
              <w:bottom w:w="80" w:type="dxa"/>
              <w:end w:w="120" w:type="dxa"/>
            </w:tcMar>
          </w:tcPr>
          <w:p>
            <w:pPr>
              <w:spacing w:after="0" w:line="240" w:lineRule="auto"/>
            </w:pPr>
            <w:r>
              <w:rPr>
                <w:rFonts w:ascii="Calibri" w:hAnsi="Calibri"/>
                <w:color w:val="1F2937"/>
                <w:sz w:val="16"/>
              </w:rPr>
              <w:t>AI explanation drawer</w:t>
            </w:r>
          </w:p>
        </w:tc>
        <w:tc>
          <w:tcPr>
            <w:tcW w:type="dxa" w:w="2050"/>
            <w:vAlign w:val="center"/>
            <w:shd w:fill="F8FAFC"/>
            <w:tcMar>
              <w:top w:w="80" w:type="dxa"/>
              <w:start w:w="120" w:type="dxa"/>
              <w:bottom w:w="80" w:type="dxa"/>
              <w:end w:w="120" w:type="dxa"/>
            </w:tcMar>
          </w:tcPr>
          <w:p>
            <w:pPr>
              <w:spacing w:after="0" w:line="240" w:lineRule="auto"/>
            </w:pPr>
            <w:r>
              <w:rPr>
                <w:rFonts w:ascii="Calibri" w:hAnsi="Calibri"/>
                <w:color w:val="1F2937"/>
                <w:sz w:val="16"/>
              </w:rPr>
              <w:t>Explain selected evidence</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6"/>
              </w:rPr>
              <w:t>Objective; selected evidence scope; phase timeline; final response; limitations</w:t>
            </w:r>
          </w:p>
        </w:tc>
        <w:tc>
          <w:tcPr>
            <w:tcW w:type="dxa" w:w="2360"/>
            <w:vAlign w:val="center"/>
            <w:shd w:fill="F8FAFC"/>
            <w:tcMar>
              <w:top w:w="80" w:type="dxa"/>
              <w:start w:w="120" w:type="dxa"/>
              <w:bottom w:w="80" w:type="dxa"/>
              <w:end w:w="120" w:type="dxa"/>
            </w:tcMar>
          </w:tcPr>
          <w:p>
            <w:pPr>
              <w:spacing w:after="0" w:line="240" w:lineRule="auto"/>
            </w:pPr>
            <w:r>
              <w:rPr>
                <w:rFonts w:ascii="Calibri" w:hAnsi="Calibri"/>
                <w:color w:val="1F2937"/>
                <w:sz w:val="16"/>
              </w:rPr>
              <w:t>Queued/running/needs review/completed/failed/unavailable</w:t>
            </w:r>
          </w:p>
        </w:tc>
      </w:tr>
    </w:tbl>
    <w:p>
      <w:pPr>
        <w:spacing w:after="40"/>
      </w:pPr>
    </w:p>
    <w:p>
      <w:pPr>
        <w:pStyle w:val="Heading2"/>
      </w:pPr>
      <w:r>
        <w:t>Visualisation catalogue</w:t>
      </w:r>
    </w:p>
    <w:tbl>
      <w:tblPr>
        <w:tblStyle w:val="TableGrid"/>
        <w:tblW w:type="dxa" w:w="9360"/>
        <w:jc w:val="left"/>
        <w:tblLayout w:type="fixed"/>
        <w:tblLook w:firstColumn="1" w:firstRow="1" w:lastColumn="0" w:lastRow="0" w:noHBand="0" w:noVBand="1" w:val="04A0"/>
        <w:tblInd w:w="120" w:type="dxa"/>
      </w:tblPr>
      <w:tblGrid>
        <w:gridCol w:w="1560"/>
        <w:gridCol w:w="1940"/>
        <w:gridCol w:w="2100"/>
        <w:gridCol w:w="1740"/>
        <w:gridCol w:w="2020"/>
      </w:tblGrid>
      <w:tr>
        <w:trPr>
          <w:tblHeader w:val="true"/>
          <w:cantSplit/>
        </w:trPr>
        <w:tc>
          <w:tcPr>
            <w:tcW w:type="dxa" w:w="15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Visual</w:t>
            </w:r>
          </w:p>
        </w:tc>
        <w:tc>
          <w:tcPr>
            <w:tcW w:type="dxa" w:w="194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Question answered</w:t>
            </w:r>
          </w:p>
        </w:tc>
        <w:tc>
          <w:tcPr>
            <w:tcW w:type="dxa" w:w="21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Data / encoding</w:t>
            </w:r>
          </w:p>
        </w:tc>
        <w:tc>
          <w:tcPr>
            <w:tcW w:type="dxa" w:w="174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Interaction</w:t>
            </w:r>
          </w:p>
        </w:tc>
        <w:tc>
          <w:tcPr>
            <w:tcW w:type="dxa" w:w="202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Accessibility / caveat</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color w:val="1F2937"/>
                <w:sz w:val="16"/>
              </w:rPr>
              <w:t>KPI cards</w:t>
            </w:r>
          </w:p>
        </w:tc>
        <w:tc>
          <w:tcPr>
            <w:tcW w:type="dxa" w:w="1940"/>
            <w:vAlign w:val="center"/>
            <w:tcMar>
              <w:top w:w="80" w:type="dxa"/>
              <w:start w:w="120" w:type="dxa"/>
              <w:bottom w:w="80" w:type="dxa"/>
              <w:end w:w="120" w:type="dxa"/>
            </w:tcMar>
          </w:tcPr>
          <w:p>
            <w:pPr>
              <w:spacing w:after="0" w:line="240" w:lineRule="auto"/>
            </w:pPr>
            <w:r>
              <w:rPr>
                <w:rFonts w:ascii="Calibri" w:hAnsi="Calibri"/>
                <w:color w:val="1F2937"/>
                <w:sz w:val="16"/>
              </w:rPr>
              <w:t>What is the current snapshot?</w:t>
            </w:r>
          </w:p>
        </w:tc>
        <w:tc>
          <w:tcPr>
            <w:tcW w:type="dxa" w:w="2100"/>
            <w:vAlign w:val="center"/>
            <w:tcMar>
              <w:top w:w="80" w:type="dxa"/>
              <w:start w:w="120" w:type="dxa"/>
              <w:bottom w:w="80" w:type="dxa"/>
              <w:end w:w="120" w:type="dxa"/>
            </w:tcMar>
          </w:tcPr>
          <w:p>
            <w:pPr>
              <w:spacing w:after="0" w:line="240" w:lineRule="auto"/>
            </w:pPr>
            <w:r>
              <w:rPr>
                <w:rFonts w:ascii="Calibri" w:hAnsi="Calibri"/>
                <w:color w:val="1F2937"/>
                <w:sz w:val="16"/>
              </w:rPr>
              <w:t>Population, primary LGA, latest 12-month incidents, transport/amenity counts; value + period</w:t>
            </w:r>
          </w:p>
        </w:tc>
        <w:tc>
          <w:tcPr>
            <w:tcW w:type="dxa" w:w="1740"/>
            <w:vAlign w:val="center"/>
            <w:tcMar>
              <w:top w:w="80" w:type="dxa"/>
              <w:start w:w="120" w:type="dxa"/>
              <w:bottom w:w="80" w:type="dxa"/>
              <w:end w:w="120" w:type="dxa"/>
            </w:tcMar>
          </w:tcPr>
          <w:p>
            <w:pPr>
              <w:spacing w:after="0" w:line="240" w:lineRule="auto"/>
            </w:pPr>
            <w:r>
              <w:rPr>
                <w:rFonts w:ascii="Calibri" w:hAnsi="Calibri"/>
                <w:color w:val="1F2937"/>
                <w:sz w:val="16"/>
              </w:rPr>
              <w:t>Open method/source drawer</w:t>
            </w:r>
          </w:p>
        </w:tc>
        <w:tc>
          <w:tcPr>
            <w:tcW w:type="dxa" w:w="2020"/>
            <w:vAlign w:val="center"/>
            <w:tcMar>
              <w:top w:w="80" w:type="dxa"/>
              <w:start w:w="120" w:type="dxa"/>
              <w:bottom w:w="80" w:type="dxa"/>
              <w:end w:w="120" w:type="dxa"/>
            </w:tcMar>
          </w:tcPr>
          <w:p>
            <w:pPr>
              <w:spacing w:after="0" w:line="240" w:lineRule="auto"/>
            </w:pPr>
            <w:r>
              <w:rPr>
                <w:rFonts w:ascii="Calibri" w:hAnsi="Calibri"/>
                <w:color w:val="1F2937"/>
                <w:sz w:val="16"/>
              </w:rPr>
              <w:t>Never show a value without unit/date; card order remains stable</w:t>
            </w:r>
          </w:p>
        </w:tc>
      </w:tr>
      <w:tr>
        <w:trPr>
          <w:cantSplit/>
        </w:trPr>
        <w:tc>
          <w:tcPr>
            <w:tcW w:type="dxa" w:w="1560"/>
            <w:vAlign w:val="center"/>
            <w:shd w:fill="F8FAFC"/>
            <w:tcMar>
              <w:top w:w="80" w:type="dxa"/>
              <w:start w:w="120" w:type="dxa"/>
              <w:bottom w:w="80" w:type="dxa"/>
              <w:end w:w="120" w:type="dxa"/>
            </w:tcMar>
          </w:tcPr>
          <w:p>
            <w:pPr>
              <w:spacing w:after="0" w:line="240" w:lineRule="auto"/>
            </w:pPr>
            <w:r>
              <w:rPr>
                <w:rFonts w:ascii="Calibri" w:hAnsi="Calibri"/>
                <w:color w:val="1F2937"/>
                <w:sz w:val="16"/>
              </w:rPr>
              <w:t>Liveability dimension dot plot</w:t>
            </w:r>
          </w:p>
        </w:tc>
        <w:tc>
          <w:tcPr>
            <w:tcW w:type="dxa" w:w="1940"/>
            <w:vAlign w:val="center"/>
            <w:shd w:fill="F8FAFC"/>
            <w:tcMar>
              <w:top w:w="80" w:type="dxa"/>
              <w:start w:w="120" w:type="dxa"/>
              <w:bottom w:w="80" w:type="dxa"/>
              <w:end w:w="120" w:type="dxa"/>
            </w:tcMar>
          </w:tcPr>
          <w:p>
            <w:pPr>
              <w:spacing w:after="0" w:line="240" w:lineRule="auto"/>
            </w:pPr>
            <w:r>
              <w:rPr>
                <w:rFonts w:ascii="Calibri" w:hAnsi="Calibri"/>
                <w:color w:val="1F2937"/>
                <w:sz w:val="16"/>
              </w:rPr>
              <w:t>Where is the suburb above/below its cohort?</w:t>
            </w:r>
          </w:p>
        </w:tc>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6"/>
              </w:rPr>
              <w:t>Raw measure plus 0-100 cohort percentile for 5-7 dimensions</w:t>
            </w:r>
          </w:p>
        </w:tc>
        <w:tc>
          <w:tcPr>
            <w:tcW w:type="dxa" w:w="1740"/>
            <w:vAlign w:val="center"/>
            <w:shd w:fill="F8FAFC"/>
            <w:tcMar>
              <w:top w:w="80" w:type="dxa"/>
              <w:start w:w="120" w:type="dxa"/>
              <w:bottom w:w="80" w:type="dxa"/>
              <w:end w:w="120" w:type="dxa"/>
            </w:tcMar>
          </w:tcPr>
          <w:p>
            <w:pPr>
              <w:spacing w:after="0" w:line="240" w:lineRule="auto"/>
            </w:pPr>
            <w:r>
              <w:rPr>
                <w:rFonts w:ascii="Calibri" w:hAnsi="Calibri"/>
                <w:color w:val="1F2937"/>
                <w:sz w:val="16"/>
              </w:rPr>
              <w:t>Choose NSW/LGA/selected cohort; inspect raw value</w:t>
            </w:r>
          </w:p>
        </w:tc>
        <w:tc>
          <w:tcPr>
            <w:tcW w:type="dxa" w:w="2020"/>
            <w:vAlign w:val="center"/>
            <w:shd w:fill="F8FAFC"/>
            <w:tcMar>
              <w:top w:w="80" w:type="dxa"/>
              <w:start w:w="120" w:type="dxa"/>
              <w:bottom w:w="80" w:type="dxa"/>
              <w:end w:w="120" w:type="dxa"/>
            </w:tcMar>
          </w:tcPr>
          <w:p>
            <w:pPr>
              <w:spacing w:after="0" w:line="240" w:lineRule="auto"/>
            </w:pPr>
            <w:r>
              <w:rPr>
                <w:rFonts w:ascii="Calibri" w:hAnsi="Calibri"/>
                <w:color w:val="1F2937"/>
                <w:sz w:val="16"/>
              </w:rPr>
              <w:t>Preferred over radar for comparison; paired data table</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color w:val="1F2937"/>
                <w:sz w:val="16"/>
              </w:rPr>
              <w:t>Optional radar profile</w:t>
            </w:r>
          </w:p>
        </w:tc>
        <w:tc>
          <w:tcPr>
            <w:tcW w:type="dxa" w:w="1940"/>
            <w:vAlign w:val="center"/>
            <w:tcMar>
              <w:top w:w="80" w:type="dxa"/>
              <w:start w:w="120" w:type="dxa"/>
              <w:bottom w:w="80" w:type="dxa"/>
              <w:end w:w="120" w:type="dxa"/>
            </w:tcMar>
          </w:tcPr>
          <w:p>
            <w:pPr>
              <w:spacing w:after="0" w:line="240" w:lineRule="auto"/>
            </w:pPr>
            <w:r>
              <w:rPr>
                <w:rFonts w:ascii="Calibri" w:hAnsi="Calibri"/>
                <w:color w:val="1F2937"/>
                <w:sz w:val="16"/>
              </w:rPr>
              <w:t>What is the overall shape for one suburb?</w:t>
            </w:r>
          </w:p>
        </w:tc>
        <w:tc>
          <w:tcPr>
            <w:tcW w:type="dxa" w:w="2100"/>
            <w:vAlign w:val="center"/>
            <w:tcMar>
              <w:top w:w="80" w:type="dxa"/>
              <w:start w:w="120" w:type="dxa"/>
              <w:bottom w:w="80" w:type="dxa"/>
              <w:end w:w="120" w:type="dxa"/>
            </w:tcMar>
          </w:tcPr>
          <w:p>
            <w:pPr>
              <w:spacing w:after="0" w:line="240" w:lineRule="auto"/>
            </w:pPr>
            <w:r>
              <w:rPr>
                <w:rFonts w:ascii="Calibri" w:hAnsi="Calibri"/>
                <w:color w:val="1F2937"/>
                <w:sz w:val="16"/>
              </w:rPr>
              <w:t>Same normalised dimensions on a fixed axis order</w:t>
            </w:r>
          </w:p>
        </w:tc>
        <w:tc>
          <w:tcPr>
            <w:tcW w:type="dxa" w:w="1740"/>
            <w:vAlign w:val="center"/>
            <w:tcMar>
              <w:top w:w="80" w:type="dxa"/>
              <w:start w:w="120" w:type="dxa"/>
              <w:bottom w:w="80" w:type="dxa"/>
              <w:end w:w="120" w:type="dxa"/>
            </w:tcMar>
          </w:tcPr>
          <w:p>
            <w:pPr>
              <w:spacing w:after="0" w:line="240" w:lineRule="auto"/>
            </w:pPr>
            <w:r>
              <w:rPr>
                <w:rFonts w:ascii="Calibri" w:hAnsi="Calibri"/>
                <w:color w:val="1F2937"/>
                <w:sz w:val="16"/>
              </w:rPr>
              <w:t>Toggle raw table; no ranking</w:t>
            </w:r>
          </w:p>
        </w:tc>
        <w:tc>
          <w:tcPr>
            <w:tcW w:type="dxa" w:w="2020"/>
            <w:vAlign w:val="center"/>
            <w:tcMar>
              <w:top w:w="80" w:type="dxa"/>
              <w:start w:w="120" w:type="dxa"/>
              <w:bottom w:w="80" w:type="dxa"/>
              <w:end w:w="120" w:type="dxa"/>
            </w:tcMar>
          </w:tcPr>
          <w:p>
            <w:pPr>
              <w:spacing w:after="0" w:line="240" w:lineRule="auto"/>
            </w:pPr>
            <w:r>
              <w:rPr>
                <w:rFonts w:ascii="Calibri" w:hAnsi="Calibri"/>
                <w:color w:val="1F2937"/>
                <w:sz w:val="16"/>
              </w:rPr>
              <w:t>Secondary visual only; colour-independent markers and text alternative</w:t>
            </w:r>
          </w:p>
        </w:tc>
      </w:tr>
      <w:tr>
        <w:trPr>
          <w:cantSplit/>
        </w:trPr>
        <w:tc>
          <w:tcPr>
            <w:tcW w:type="dxa" w:w="1560"/>
            <w:vAlign w:val="center"/>
            <w:shd w:fill="F8FAFC"/>
            <w:tcMar>
              <w:top w:w="80" w:type="dxa"/>
              <w:start w:w="120" w:type="dxa"/>
              <w:bottom w:w="80" w:type="dxa"/>
              <w:end w:w="120" w:type="dxa"/>
            </w:tcMar>
          </w:tcPr>
          <w:p>
            <w:pPr>
              <w:spacing w:after="0" w:line="240" w:lineRule="auto"/>
            </w:pPr>
            <w:r>
              <w:rPr>
                <w:rFonts w:ascii="Calibri" w:hAnsi="Calibri"/>
                <w:color w:val="1F2937"/>
                <w:sz w:val="16"/>
              </w:rPr>
              <w:t>Crime time-series line</w:t>
            </w:r>
          </w:p>
        </w:tc>
        <w:tc>
          <w:tcPr>
            <w:tcW w:type="dxa" w:w="1940"/>
            <w:vAlign w:val="center"/>
            <w:shd w:fill="F8FAFC"/>
            <w:tcMar>
              <w:top w:w="80" w:type="dxa"/>
              <w:start w:w="120" w:type="dxa"/>
              <w:bottom w:w="80" w:type="dxa"/>
              <w:end w:w="120" w:type="dxa"/>
            </w:tcMar>
          </w:tcPr>
          <w:p>
            <w:pPr>
              <w:spacing w:after="0" w:line="240" w:lineRule="auto"/>
            </w:pPr>
            <w:r>
              <w:rPr>
                <w:rFonts w:ascii="Calibri" w:hAnsi="Calibri"/>
                <w:color w:val="1F2937"/>
                <w:sz w:val="16"/>
              </w:rPr>
              <w:t>How have recorded incidents changed?</w:t>
            </w:r>
          </w:p>
        </w:tc>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6"/>
              </w:rPr>
              <w:t>Monthly count or qualified rate; 12-month rolling option</w:t>
            </w:r>
          </w:p>
        </w:tc>
        <w:tc>
          <w:tcPr>
            <w:tcW w:type="dxa" w:w="1740"/>
            <w:vAlign w:val="center"/>
            <w:shd w:fill="F8FAFC"/>
            <w:tcMar>
              <w:top w:w="80" w:type="dxa"/>
              <w:start w:w="120" w:type="dxa"/>
              <w:bottom w:w="80" w:type="dxa"/>
              <w:end w:w="120" w:type="dxa"/>
            </w:tcMar>
          </w:tcPr>
          <w:p>
            <w:pPr>
              <w:spacing w:after="0" w:line="240" w:lineRule="auto"/>
            </w:pPr>
            <w:r>
              <w:rPr>
                <w:rFonts w:ascii="Calibri" w:hAnsi="Calibri"/>
                <w:color w:val="1F2937"/>
                <w:sz w:val="16"/>
              </w:rPr>
              <w:t>Date/offence/count-rate toggle; tooltips</w:t>
            </w:r>
          </w:p>
        </w:tc>
        <w:tc>
          <w:tcPr>
            <w:tcW w:type="dxa" w:w="2020"/>
            <w:vAlign w:val="center"/>
            <w:shd w:fill="F8FAFC"/>
            <w:tcMar>
              <w:top w:w="80" w:type="dxa"/>
              <w:start w:w="120" w:type="dxa"/>
              <w:bottom w:w="80" w:type="dxa"/>
              <w:end w:w="120" w:type="dxa"/>
            </w:tcMar>
          </w:tcPr>
          <w:p>
            <w:pPr>
              <w:spacing w:after="0" w:line="240" w:lineRule="auto"/>
            </w:pPr>
            <w:r>
              <w:rPr>
                <w:rFonts w:ascii="Calibri" w:hAnsi="Calibri"/>
                <w:color w:val="1F2937"/>
                <w:sz w:val="16"/>
              </w:rPr>
              <w:t>Do not interpolate missing months; table fallback</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color w:val="1F2937"/>
                <w:sz w:val="16"/>
              </w:rPr>
              <w:t>Crime category bar chart</w:t>
            </w:r>
          </w:p>
        </w:tc>
        <w:tc>
          <w:tcPr>
            <w:tcW w:type="dxa" w:w="1940"/>
            <w:vAlign w:val="center"/>
            <w:tcMar>
              <w:top w:w="80" w:type="dxa"/>
              <w:start w:w="120" w:type="dxa"/>
              <w:bottom w:w="80" w:type="dxa"/>
              <w:end w:w="120" w:type="dxa"/>
            </w:tcMar>
          </w:tcPr>
          <w:p>
            <w:pPr>
              <w:spacing w:after="0" w:line="240" w:lineRule="auto"/>
            </w:pPr>
            <w:r>
              <w:rPr>
                <w:rFonts w:ascii="Calibri" w:hAnsi="Calibri"/>
                <w:color w:val="1F2937"/>
                <w:sz w:val="16"/>
              </w:rPr>
              <w:t>Which selected offence groups make up the period?</w:t>
            </w:r>
          </w:p>
        </w:tc>
        <w:tc>
          <w:tcPr>
            <w:tcW w:type="dxa" w:w="2100"/>
            <w:vAlign w:val="center"/>
            <w:tcMar>
              <w:top w:w="80" w:type="dxa"/>
              <w:start w:w="120" w:type="dxa"/>
              <w:bottom w:w="80" w:type="dxa"/>
              <w:end w:w="120" w:type="dxa"/>
            </w:tcMar>
          </w:tcPr>
          <w:p>
            <w:pPr>
              <w:spacing w:after="0" w:line="240" w:lineRule="auto"/>
            </w:pPr>
            <w:r>
              <w:rPr>
                <w:rFonts w:ascii="Calibri" w:hAnsi="Calibri"/>
                <w:color w:val="1F2937"/>
                <w:sz w:val="16"/>
              </w:rPr>
              <w:t>Horizontal bars sorted by count; label count and share</w:t>
            </w:r>
          </w:p>
        </w:tc>
        <w:tc>
          <w:tcPr>
            <w:tcW w:type="dxa" w:w="1740"/>
            <w:vAlign w:val="center"/>
            <w:tcMar>
              <w:top w:w="80" w:type="dxa"/>
              <w:start w:w="120" w:type="dxa"/>
              <w:bottom w:w="80" w:type="dxa"/>
              <w:end w:w="120" w:type="dxa"/>
            </w:tcMar>
          </w:tcPr>
          <w:p>
            <w:pPr>
              <w:spacing w:after="0" w:line="240" w:lineRule="auto"/>
            </w:pPr>
            <w:r>
              <w:rPr>
                <w:rFonts w:ascii="Calibri" w:hAnsi="Calibri"/>
                <w:color w:val="1F2937"/>
                <w:sz w:val="16"/>
              </w:rPr>
              <w:t>Select top N / all; drill to raw table</w:t>
            </w:r>
          </w:p>
        </w:tc>
        <w:tc>
          <w:tcPr>
            <w:tcW w:type="dxa" w:w="2020"/>
            <w:vAlign w:val="center"/>
            <w:tcMar>
              <w:top w:w="80" w:type="dxa"/>
              <w:start w:w="120" w:type="dxa"/>
              <w:bottom w:w="80" w:type="dxa"/>
              <w:end w:w="120" w:type="dxa"/>
            </w:tcMar>
          </w:tcPr>
          <w:p>
            <w:pPr>
              <w:spacing w:after="0" w:line="240" w:lineRule="auto"/>
            </w:pPr>
            <w:r>
              <w:rPr>
                <w:rFonts w:ascii="Calibri" w:hAnsi="Calibri"/>
                <w:color w:val="1F2937"/>
                <w:sz w:val="16"/>
              </w:rPr>
              <w:t>Category definitions from BOCSAR; avoid red=unsafe semantics</w:t>
            </w:r>
          </w:p>
        </w:tc>
      </w:tr>
      <w:tr>
        <w:trPr>
          <w:cantSplit/>
        </w:trPr>
        <w:tc>
          <w:tcPr>
            <w:tcW w:type="dxa" w:w="1560"/>
            <w:vAlign w:val="center"/>
            <w:shd w:fill="F8FAFC"/>
            <w:tcMar>
              <w:top w:w="80" w:type="dxa"/>
              <w:start w:w="120" w:type="dxa"/>
              <w:bottom w:w="80" w:type="dxa"/>
              <w:end w:w="120" w:type="dxa"/>
            </w:tcMar>
          </w:tcPr>
          <w:p>
            <w:pPr>
              <w:spacing w:after="0" w:line="240" w:lineRule="auto"/>
            </w:pPr>
            <w:r>
              <w:rPr>
                <w:rFonts w:ascii="Calibri" w:hAnsi="Calibri"/>
                <w:color w:val="1F2937"/>
                <w:sz w:val="16"/>
              </w:rPr>
              <w:t>Benchmark dumbbell</w:t>
            </w:r>
          </w:p>
        </w:tc>
        <w:tc>
          <w:tcPr>
            <w:tcW w:type="dxa" w:w="1940"/>
            <w:vAlign w:val="center"/>
            <w:shd w:fill="F8FAFC"/>
            <w:tcMar>
              <w:top w:w="80" w:type="dxa"/>
              <w:start w:w="120" w:type="dxa"/>
              <w:bottom w:w="80" w:type="dxa"/>
              <w:end w:w="120" w:type="dxa"/>
            </w:tcMar>
          </w:tcPr>
          <w:p>
            <w:pPr>
              <w:spacing w:after="0" w:line="240" w:lineRule="auto"/>
            </w:pPr>
            <w:r>
              <w:rPr>
                <w:rFonts w:ascii="Calibri" w:hAnsi="Calibri"/>
                <w:color w:val="1F2937"/>
                <w:sz w:val="16"/>
              </w:rPr>
              <w:t>How does the suburb compare with LGA/NSW?</w:t>
            </w:r>
          </w:p>
        </w:tc>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6"/>
              </w:rPr>
              <w:t>Same-period raw values with labelled points</w:t>
            </w:r>
          </w:p>
        </w:tc>
        <w:tc>
          <w:tcPr>
            <w:tcW w:type="dxa" w:w="1740"/>
            <w:vAlign w:val="center"/>
            <w:shd w:fill="F8FAFC"/>
            <w:tcMar>
              <w:top w:w="80" w:type="dxa"/>
              <w:start w:w="120" w:type="dxa"/>
              <w:bottom w:w="80" w:type="dxa"/>
              <w:end w:w="120" w:type="dxa"/>
            </w:tcMar>
          </w:tcPr>
          <w:p>
            <w:pPr>
              <w:spacing w:after="0" w:line="240" w:lineRule="auto"/>
            </w:pPr>
            <w:r>
              <w:rPr>
                <w:rFonts w:ascii="Calibri" w:hAnsi="Calibri"/>
                <w:color w:val="1F2937"/>
                <w:sz w:val="16"/>
              </w:rPr>
              <w:t>Switch benchmark and metric</w:t>
            </w:r>
          </w:p>
        </w:tc>
        <w:tc>
          <w:tcPr>
            <w:tcW w:type="dxa" w:w="2020"/>
            <w:vAlign w:val="center"/>
            <w:shd w:fill="F8FAFC"/>
            <w:tcMar>
              <w:top w:w="80" w:type="dxa"/>
              <w:start w:w="120" w:type="dxa"/>
              <w:bottom w:w="80" w:type="dxa"/>
              <w:end w:w="120" w:type="dxa"/>
            </w:tcMar>
          </w:tcPr>
          <w:p>
            <w:pPr>
              <w:spacing w:after="0" w:line="240" w:lineRule="auto"/>
            </w:pPr>
            <w:r>
              <w:rPr>
                <w:rFonts w:ascii="Calibri" w:hAnsi="Calibri"/>
                <w:color w:val="1F2937"/>
                <w:sz w:val="16"/>
              </w:rPr>
              <w:t>No league table; small samples flagged</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color w:val="1F2937"/>
                <w:sz w:val="16"/>
              </w:rPr>
              <w:t>Amenity map</w:t>
            </w:r>
          </w:p>
        </w:tc>
        <w:tc>
          <w:tcPr>
            <w:tcW w:type="dxa" w:w="1940"/>
            <w:vAlign w:val="center"/>
            <w:tcMar>
              <w:top w:w="80" w:type="dxa"/>
              <w:start w:w="120" w:type="dxa"/>
              <w:bottom w:w="80" w:type="dxa"/>
              <w:end w:w="120" w:type="dxa"/>
            </w:tcMar>
          </w:tcPr>
          <w:p>
            <w:pPr>
              <w:spacing w:after="0" w:line="240" w:lineRule="auto"/>
            </w:pPr>
            <w:r>
              <w:rPr>
                <w:rFonts w:ascii="Calibri" w:hAnsi="Calibri"/>
                <w:color w:val="1F2937"/>
                <w:sz w:val="16"/>
              </w:rPr>
              <w:t>Where are services relative to the suburb?</w:t>
            </w:r>
          </w:p>
        </w:tc>
        <w:tc>
          <w:tcPr>
            <w:tcW w:type="dxa" w:w="2100"/>
            <w:vAlign w:val="center"/>
            <w:tcMar>
              <w:top w:w="80" w:type="dxa"/>
              <w:start w:w="120" w:type="dxa"/>
              <w:bottom w:w="80" w:type="dxa"/>
              <w:end w:w="120" w:type="dxa"/>
            </w:tcMar>
          </w:tcPr>
          <w:p>
            <w:pPr>
              <w:spacing w:after="0" w:line="240" w:lineRule="auto"/>
            </w:pPr>
            <w:r>
              <w:rPr>
                <w:rFonts w:ascii="Calibri" w:hAnsi="Calibri"/>
                <w:color w:val="1F2937"/>
                <w:sz w:val="16"/>
              </w:rPr>
              <w:t>Gazetted boundary + typed point markers + optional radius</w:t>
            </w:r>
          </w:p>
        </w:tc>
        <w:tc>
          <w:tcPr>
            <w:tcW w:type="dxa" w:w="1740"/>
            <w:vAlign w:val="center"/>
            <w:tcMar>
              <w:top w:w="80" w:type="dxa"/>
              <w:start w:w="120" w:type="dxa"/>
              <w:bottom w:w="80" w:type="dxa"/>
              <w:end w:w="120" w:type="dxa"/>
            </w:tcMar>
          </w:tcPr>
          <w:p>
            <w:pPr>
              <w:spacing w:after="0" w:line="240" w:lineRule="auto"/>
            </w:pPr>
            <w:r>
              <w:rPr>
                <w:rFonts w:ascii="Calibri" w:hAnsi="Calibri"/>
                <w:color w:val="1F2937"/>
                <w:sz w:val="16"/>
              </w:rPr>
              <w:t>Filter, cluster, select marker/list row</w:t>
            </w:r>
          </w:p>
        </w:tc>
        <w:tc>
          <w:tcPr>
            <w:tcW w:type="dxa" w:w="2020"/>
            <w:vAlign w:val="center"/>
            <w:tcMar>
              <w:top w:w="80" w:type="dxa"/>
              <w:start w:w="120" w:type="dxa"/>
              <w:bottom w:w="80" w:type="dxa"/>
              <w:end w:w="120" w:type="dxa"/>
            </w:tcMar>
          </w:tcPr>
          <w:p>
            <w:pPr>
              <w:spacing w:after="0" w:line="240" w:lineRule="auto"/>
            </w:pPr>
            <w:r>
              <w:rPr>
                <w:rFonts w:ascii="Calibri" w:hAnsi="Calibri"/>
                <w:color w:val="1F2937"/>
                <w:sz w:val="16"/>
              </w:rPr>
              <w:t>Keyboard-linked list, no information only in map, bounded GeoJSON</w:t>
            </w:r>
          </w:p>
        </w:tc>
      </w:tr>
      <w:tr>
        <w:trPr>
          <w:cantSplit/>
        </w:trPr>
        <w:tc>
          <w:tcPr>
            <w:tcW w:type="dxa" w:w="1560"/>
            <w:vAlign w:val="center"/>
            <w:shd w:fill="F8FAFC"/>
            <w:tcMar>
              <w:top w:w="80" w:type="dxa"/>
              <w:start w:w="120" w:type="dxa"/>
              <w:bottom w:w="80" w:type="dxa"/>
              <w:end w:w="120" w:type="dxa"/>
            </w:tcMar>
          </w:tcPr>
          <w:p>
            <w:pPr>
              <w:spacing w:after="0" w:line="240" w:lineRule="auto"/>
            </w:pPr>
            <w:r>
              <w:rPr>
                <w:rFonts w:ascii="Calibri" w:hAnsi="Calibri"/>
                <w:color w:val="1F2937"/>
                <w:sz w:val="16"/>
              </w:rPr>
              <w:t>Amenity access bars</w:t>
            </w:r>
          </w:p>
        </w:tc>
        <w:tc>
          <w:tcPr>
            <w:tcW w:type="dxa" w:w="1940"/>
            <w:vAlign w:val="center"/>
            <w:shd w:fill="F8FAFC"/>
            <w:tcMar>
              <w:top w:w="80" w:type="dxa"/>
              <w:start w:w="120" w:type="dxa"/>
              <w:bottom w:w="80" w:type="dxa"/>
              <w:end w:w="120" w:type="dxa"/>
            </w:tcMar>
          </w:tcPr>
          <w:p>
            <w:pPr>
              <w:spacing w:after="0" w:line="240" w:lineRule="auto"/>
            </w:pPr>
            <w:r>
              <w:rPr>
                <w:rFonts w:ascii="Calibri" w:hAnsi="Calibri"/>
                <w:color w:val="1F2937"/>
                <w:sz w:val="16"/>
              </w:rPr>
              <w:t>How much access is available by category?</w:t>
            </w:r>
          </w:p>
        </w:tc>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6"/>
              </w:rPr>
              <w:t>Count, density, nearest distance, or scheduled service frequency</w:t>
            </w:r>
          </w:p>
        </w:tc>
        <w:tc>
          <w:tcPr>
            <w:tcW w:type="dxa" w:w="1740"/>
            <w:vAlign w:val="center"/>
            <w:shd w:fill="F8FAFC"/>
            <w:tcMar>
              <w:top w:w="80" w:type="dxa"/>
              <w:start w:w="120" w:type="dxa"/>
              <w:bottom w:w="80" w:type="dxa"/>
              <w:end w:w="120" w:type="dxa"/>
            </w:tcMar>
          </w:tcPr>
          <w:p>
            <w:pPr>
              <w:spacing w:after="0" w:line="240" w:lineRule="auto"/>
            </w:pPr>
            <w:r>
              <w:rPr>
                <w:rFonts w:ascii="Calibri" w:hAnsi="Calibri"/>
                <w:color w:val="1F2937"/>
                <w:sz w:val="16"/>
              </w:rPr>
              <w:t>Metric toggle and source detail</w:t>
            </w:r>
          </w:p>
        </w:tc>
        <w:tc>
          <w:tcPr>
            <w:tcW w:type="dxa" w:w="2020"/>
            <w:vAlign w:val="center"/>
            <w:shd w:fill="F8FAFC"/>
            <w:tcMar>
              <w:top w:w="80" w:type="dxa"/>
              <w:start w:w="120" w:type="dxa"/>
              <w:bottom w:w="80" w:type="dxa"/>
              <w:end w:w="120" w:type="dxa"/>
            </w:tcMar>
          </w:tcPr>
          <w:p>
            <w:pPr>
              <w:spacing w:after="0" w:line="240" w:lineRule="auto"/>
            </w:pPr>
            <w:r>
              <w:rPr>
                <w:rFonts w:ascii="Calibri" w:hAnsi="Calibri"/>
                <w:color w:val="1F2937"/>
                <w:sz w:val="16"/>
              </w:rPr>
              <w:t>Do not combine incomparable access measures into one number</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color w:val="1F2937"/>
                <w:sz w:val="16"/>
              </w:rPr>
              <w:t>Age / household distribution</w:t>
            </w:r>
          </w:p>
        </w:tc>
        <w:tc>
          <w:tcPr>
            <w:tcW w:type="dxa" w:w="1940"/>
            <w:vAlign w:val="center"/>
            <w:tcMar>
              <w:top w:w="80" w:type="dxa"/>
              <w:start w:w="120" w:type="dxa"/>
              <w:bottom w:w="80" w:type="dxa"/>
              <w:end w:w="120" w:type="dxa"/>
            </w:tcMar>
          </w:tcPr>
          <w:p>
            <w:pPr>
              <w:spacing w:after="0" w:line="240" w:lineRule="auto"/>
            </w:pPr>
            <w:r>
              <w:rPr>
                <w:rFonts w:ascii="Calibri" w:hAnsi="Calibri"/>
                <w:color w:val="1F2937"/>
                <w:sz w:val="16"/>
              </w:rPr>
              <w:t>Who lives in the suburb?</w:t>
            </w:r>
          </w:p>
        </w:tc>
        <w:tc>
          <w:tcPr>
            <w:tcW w:type="dxa" w:w="2100"/>
            <w:vAlign w:val="center"/>
            <w:tcMar>
              <w:top w:w="80" w:type="dxa"/>
              <w:start w:w="120" w:type="dxa"/>
              <w:bottom w:w="80" w:type="dxa"/>
              <w:end w:w="120" w:type="dxa"/>
            </w:tcMar>
          </w:tcPr>
          <w:p>
            <w:pPr>
              <w:spacing w:after="0" w:line="240" w:lineRule="auto"/>
            </w:pPr>
            <w:r>
              <w:rPr>
                <w:rFonts w:ascii="Calibri" w:hAnsi="Calibri"/>
                <w:color w:val="1F2937"/>
                <w:sz w:val="16"/>
              </w:rPr>
              <w:t>100% stacked bars from Census categories</w:t>
            </w:r>
          </w:p>
        </w:tc>
        <w:tc>
          <w:tcPr>
            <w:tcW w:type="dxa" w:w="1740"/>
            <w:vAlign w:val="center"/>
            <w:tcMar>
              <w:top w:w="80" w:type="dxa"/>
              <w:start w:w="120" w:type="dxa"/>
              <w:bottom w:w="80" w:type="dxa"/>
              <w:end w:w="120" w:type="dxa"/>
            </w:tcMar>
          </w:tcPr>
          <w:p>
            <w:pPr>
              <w:spacing w:after="0" w:line="240" w:lineRule="auto"/>
            </w:pPr>
            <w:r>
              <w:rPr>
                <w:rFonts w:ascii="Calibri" w:hAnsi="Calibri"/>
                <w:color w:val="1F2937"/>
                <w:sz w:val="16"/>
              </w:rPr>
              <w:t>Compare with LGA/NSW</w:t>
            </w:r>
          </w:p>
        </w:tc>
        <w:tc>
          <w:tcPr>
            <w:tcW w:type="dxa" w:w="2020"/>
            <w:vAlign w:val="center"/>
            <w:tcMar>
              <w:top w:w="80" w:type="dxa"/>
              <w:start w:w="120" w:type="dxa"/>
              <w:bottom w:w="80" w:type="dxa"/>
              <w:end w:w="120" w:type="dxa"/>
            </w:tcMar>
          </w:tcPr>
          <w:p>
            <w:pPr>
              <w:spacing w:after="0" w:line="240" w:lineRule="auto"/>
            </w:pPr>
            <w:r>
              <w:rPr>
                <w:rFonts w:ascii="Calibri" w:hAnsi="Calibri"/>
                <w:color w:val="1F2937"/>
                <w:sz w:val="16"/>
              </w:rPr>
              <w:t>Exact percentages in adjacent table; suppressed cells preserved</w:t>
            </w:r>
          </w:p>
        </w:tc>
      </w:tr>
      <w:tr>
        <w:trPr>
          <w:cantSplit/>
        </w:trPr>
        <w:tc>
          <w:tcPr>
            <w:tcW w:type="dxa" w:w="1560"/>
            <w:vAlign w:val="center"/>
            <w:shd w:fill="F8FAFC"/>
            <w:tcMar>
              <w:top w:w="80" w:type="dxa"/>
              <w:start w:w="120" w:type="dxa"/>
              <w:bottom w:w="80" w:type="dxa"/>
              <w:end w:w="120" w:type="dxa"/>
            </w:tcMar>
          </w:tcPr>
          <w:p>
            <w:pPr>
              <w:spacing w:after="0" w:line="240" w:lineRule="auto"/>
            </w:pPr>
            <w:r>
              <w:rPr>
                <w:rFonts w:ascii="Calibri" w:hAnsi="Calibri"/>
                <w:color w:val="1F2937"/>
                <w:sz w:val="16"/>
              </w:rPr>
              <w:t>Explore choropleth</w:t>
            </w:r>
          </w:p>
        </w:tc>
        <w:tc>
          <w:tcPr>
            <w:tcW w:type="dxa" w:w="1940"/>
            <w:vAlign w:val="center"/>
            <w:shd w:fill="F8FAFC"/>
            <w:tcMar>
              <w:top w:w="80" w:type="dxa"/>
              <w:start w:w="120" w:type="dxa"/>
              <w:bottom w:w="80" w:type="dxa"/>
              <w:end w:w="120" w:type="dxa"/>
            </w:tcMar>
          </w:tcPr>
          <w:p>
            <w:pPr>
              <w:spacing w:after="0" w:line="240" w:lineRule="auto"/>
            </w:pPr>
            <w:r>
              <w:rPr>
                <w:rFonts w:ascii="Calibri" w:hAnsi="Calibri"/>
                <w:color w:val="1F2937"/>
                <w:sz w:val="16"/>
              </w:rPr>
              <w:t>Where are higher/lower values located?</w:t>
            </w:r>
          </w:p>
        </w:tc>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6"/>
              </w:rPr>
              <w:t>One selected indicator, sequential palette, explicit legend</w:t>
            </w:r>
          </w:p>
        </w:tc>
        <w:tc>
          <w:tcPr>
            <w:tcW w:type="dxa" w:w="1740"/>
            <w:vAlign w:val="center"/>
            <w:shd w:fill="F8FAFC"/>
            <w:tcMar>
              <w:top w:w="80" w:type="dxa"/>
              <w:start w:w="120" w:type="dxa"/>
              <w:bottom w:w="80" w:type="dxa"/>
              <w:end w:w="120" w:type="dxa"/>
            </w:tcMar>
          </w:tcPr>
          <w:p>
            <w:pPr>
              <w:spacing w:after="0" w:line="240" w:lineRule="auto"/>
            </w:pPr>
            <w:r>
              <w:rPr>
                <w:rFonts w:ascii="Calibri" w:hAnsi="Calibri"/>
                <w:color w:val="1F2937"/>
                <w:sz w:val="16"/>
              </w:rPr>
              <w:t>Pan/zoom/select; list remains primary</w:t>
            </w:r>
          </w:p>
        </w:tc>
        <w:tc>
          <w:tcPr>
            <w:tcW w:type="dxa" w:w="2020"/>
            <w:vAlign w:val="center"/>
            <w:shd w:fill="F8FAFC"/>
            <w:tcMar>
              <w:top w:w="80" w:type="dxa"/>
              <w:start w:w="120" w:type="dxa"/>
              <w:bottom w:w="80" w:type="dxa"/>
              <w:end w:w="120" w:type="dxa"/>
            </w:tcMar>
          </w:tcPr>
          <w:p>
            <w:pPr>
              <w:spacing w:after="0" w:line="240" w:lineRule="auto"/>
            </w:pPr>
            <w:r>
              <w:rPr>
                <w:rFonts w:ascii="Calibri" w:hAnsi="Calibri"/>
                <w:color w:val="1F2937"/>
                <w:sz w:val="16"/>
              </w:rPr>
              <w:t>Quantile bins disclose breaks; missing areas hatched/neutral</w:t>
            </w:r>
          </w:p>
        </w:tc>
      </w:tr>
    </w:tbl>
    <w:p>
      <w:pPr>
        <w:spacing w:after="40"/>
      </w:pPr>
    </w:p>
    <w:p>
      <w:pPr>
        <w:pStyle w:val="Heading2"/>
      </w:pPr>
      <w:r>
        <w:t>Responsive and interaction rules</w:t>
      </w:r>
    </w:p>
    <w:p>
      <w:pPr>
        <w:numPr>
          <w:ilvl w:val="0"/>
          <w:numId w:val="1"/>
        </w:numPr>
        <w:spacing w:after="160" w:line="280" w:lineRule="auto"/>
      </w:pPr>
      <w:r>
        <w:rPr>
          <w:rFonts w:ascii="Calibri" w:hAnsi="Calibri"/>
        </w:rPr>
        <w:t>Desktop: two-column profile with sticky evidence summary; mobile: single-column sections and a bottom compare tray that never hides content.</w:t>
      </w:r>
    </w:p>
    <w:p>
      <w:pPr>
        <w:numPr>
          <w:ilvl w:val="0"/>
          <w:numId w:val="1"/>
        </w:numPr>
        <w:spacing w:after="160" w:line="280" w:lineRule="auto"/>
      </w:pPr>
      <w:r>
        <w:rPr>
          <w:rFonts w:ascii="Calibri" w:hAnsi="Calibri"/>
        </w:rPr>
        <w:t>Charts render after an accessible heading and summary; an adjacent Show data action reveals the same values in a semantic table.</w:t>
      </w:r>
    </w:p>
    <w:p>
      <w:pPr>
        <w:numPr>
          <w:ilvl w:val="0"/>
          <w:numId w:val="1"/>
        </w:numPr>
        <w:spacing w:after="160" w:line="280" w:lineRule="auto"/>
      </w:pPr>
      <w:r>
        <w:rPr>
          <w:rFonts w:ascii="Calibri" w:hAnsi="Calibri"/>
        </w:rPr>
        <w:t>Filters update the URL only with stable IDs and non-sensitive parameters. Notes, objectives, evidence payloads, and arbitrary redirect URLs never enter the query string.</w:t>
      </w:r>
    </w:p>
    <w:p>
      <w:pPr>
        <w:numPr>
          <w:ilvl w:val="0"/>
          <w:numId w:val="1"/>
        </w:numPr>
        <w:spacing w:after="160" w:line="280" w:lineRule="auto"/>
      </w:pPr>
      <w:r>
        <w:rPr>
          <w:rFonts w:ascii="Calibri" w:hAnsi="Calibri"/>
        </w:rPr>
        <w:t>Every asynchronous region exposes loading, success, empty, partial, stale, and failure states with the last request ID and a bounded retry action.</w:t>
      </w:r>
    </w:p>
    <w:p>
      <w:pPr>
        <w:numPr>
          <w:ilvl w:val="0"/>
          <w:numId w:val="1"/>
        </w:numPr>
        <w:spacing w:after="160" w:line="280" w:lineRule="auto"/>
      </w:pPr>
      <w:r>
        <w:rPr>
          <w:rFonts w:ascii="Calibri" w:hAnsi="Calibri"/>
        </w:rPr>
        <w:t>Use shared --ps-* design tokens and public mapping/browser entrypoints; feature code owns labels, chart meaning, layers, and domain interpretation.</w:t>
      </w:r>
    </w:p>
    <w:p>
      <w:r>
        <w:br w:type="page"/>
      </w:r>
    </w:p>
    <w:p>
      <w:pPr>
        <w:pStyle w:val="Heading1"/>
      </w:pPr>
      <w:r>
        <w:t>Liveability and crime measurement model</w:t>
      </w:r>
    </w:p>
    <w:p>
      <w:pPr>
        <w:pStyle w:val="Heading2"/>
      </w:pPr>
      <w:r>
        <w:t>Measure first, score second</w:t>
      </w:r>
    </w:p>
    <w:p>
      <w:r>
        <w:rPr>
          <w:rFonts w:ascii="Calibri" w:hAnsi="Calibri"/>
        </w:rPr>
        <w:t>The MVP should store and serve raw, source-defined measures. A display percentile can help compare measures with different units, but it is not a fact published by the source. Any normalised value must include its cohort, method version, direction, and coverage. An overall score should remain out of scope until the team approves weights and a documented fairness review.</w:t>
      </w:r>
    </w:p>
    <w:p>
      <w:pPr>
        <w:keepLines/>
        <w:spacing w:before="120" w:after="200" w:line="264" w:lineRule="auto"/>
        <w:ind w:left="173" w:right="86"/>
        <w:shd w:fill="E8F4F3"/>
        <w:pBdr>
          <w:left w:val="single" w:sz="18" w:space="7" w:color="1C7C7D"/>
        </w:pBdr>
      </w:pPr>
      <w:r>
        <w:rPr>
          <w:rFonts w:ascii="Calibri" w:hAnsi="Calibri"/>
          <w:b/>
          <w:color w:val="1C7C7D"/>
        </w:rPr>
        <w:t xml:space="preserve">Reference model: </w:t>
      </w:r>
      <w:r>
        <w:rPr>
          <w:rFonts w:ascii="Calibri" w:hAnsi="Calibri"/>
          <w:color w:val="1F2937"/>
        </w:rPr>
        <w:t>The Australian Urban Observatory treats liveability as a composite of social infrastructure, walkability, public transport, public open space, housing affordability, and local employment. PropertyScope can use this as methodological inspiration, but must not copy paid suburb-level indicators or imply equivalence. It should calculate only measures supported by licensed source data and disclose its own method.</w:t>
      </w:r>
    </w:p>
    <w:p>
      <w:pPr>
        <w:pStyle w:val="Heading2"/>
      </w:pPr>
      <w:r>
        <w:t>Proposed dimension profile</w:t>
      </w:r>
    </w:p>
    <w:tbl>
      <w:tblPr>
        <w:tblStyle w:val="TableGrid"/>
        <w:tblW w:type="dxa" w:w="9360"/>
        <w:jc w:val="left"/>
        <w:tblLayout w:type="fixed"/>
        <w:tblLook w:firstColumn="1" w:firstRow="1" w:lastColumn="0" w:lastRow="0" w:noHBand="0" w:noVBand="1" w:val="04A0"/>
        <w:tblInd w:w="120" w:type="dxa"/>
      </w:tblPr>
      <w:tblGrid>
        <w:gridCol w:w="1700"/>
        <w:gridCol w:w="2900"/>
        <w:gridCol w:w="2860"/>
        <w:gridCol w:w="1900"/>
      </w:tblGrid>
      <w:tr>
        <w:trPr>
          <w:tblHeader w:val="true"/>
          <w:cantSplit/>
        </w:trPr>
        <w:tc>
          <w:tcPr>
            <w:tcW w:type="dxa" w:w="17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Dimension</w:t>
            </w:r>
          </w:p>
        </w:tc>
        <w:tc>
          <w:tcPr>
            <w:tcW w:type="dxa" w:w="2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MVP measures</w:t>
            </w:r>
          </w:p>
        </w:tc>
        <w:tc>
          <w:tcPr>
            <w:tcW w:type="dxa" w:w="28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Direction / treatment</w:t>
            </w:r>
          </w:p>
        </w:tc>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Source</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7"/>
              </w:rPr>
              <w:t>Crime context</w:t>
            </w:r>
          </w:p>
        </w:tc>
        <w:tc>
          <w:tcPr>
            <w:tcW w:type="dxa" w:w="2900"/>
            <w:vAlign w:val="center"/>
            <w:tcMar>
              <w:top w:w="80" w:type="dxa"/>
              <w:start w:w="120" w:type="dxa"/>
              <w:bottom w:w="80" w:type="dxa"/>
              <w:end w:w="120" w:type="dxa"/>
            </w:tcMar>
          </w:tcPr>
          <w:p>
            <w:pPr>
              <w:spacing w:after="0" w:line="240" w:lineRule="auto"/>
            </w:pPr>
            <w:r>
              <w:rPr>
                <w:rFonts w:ascii="Calibri" w:hAnsi="Calibri"/>
                <w:color w:val="1F2937"/>
                <w:sz w:val="17"/>
              </w:rPr>
              <w:t>Selected recorded incidents; rolling 12-month change; category mix</w:t>
            </w:r>
          </w:p>
        </w:tc>
        <w:tc>
          <w:tcPr>
            <w:tcW w:type="dxa" w:w="2860"/>
            <w:vAlign w:val="center"/>
            <w:tcMar>
              <w:top w:w="80" w:type="dxa"/>
              <w:start w:w="120" w:type="dxa"/>
              <w:bottom w:w="80" w:type="dxa"/>
              <w:end w:w="120" w:type="dxa"/>
            </w:tcMar>
          </w:tcPr>
          <w:p>
            <w:pPr>
              <w:spacing w:after="0" w:line="240" w:lineRule="auto"/>
            </w:pPr>
            <w:r>
              <w:rPr>
                <w:rFonts w:ascii="Calibri" w:hAnsi="Calibri"/>
                <w:color w:val="1F2937"/>
                <w:sz w:val="17"/>
              </w:rPr>
              <w:t>Lower is not automatically safer; exclude from composite until denominator and stability rules pass</w:t>
            </w:r>
          </w:p>
        </w:tc>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BOCSAR</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7"/>
              </w:rPr>
              <w:t>Public transport</w:t>
            </w:r>
          </w:p>
        </w:tc>
        <w:tc>
          <w:tcPr>
            <w:tcW w:type="dxa" w:w="2900"/>
            <w:vAlign w:val="center"/>
            <w:shd w:fill="F8FAFC"/>
            <w:tcMar>
              <w:top w:w="80" w:type="dxa"/>
              <w:start w:w="120" w:type="dxa"/>
              <w:bottom w:w="80" w:type="dxa"/>
              <w:end w:w="120" w:type="dxa"/>
            </w:tcMar>
          </w:tcPr>
          <w:p>
            <w:pPr>
              <w:spacing w:after="0" w:line="240" w:lineRule="auto"/>
            </w:pPr>
            <w:r>
              <w:rPr>
                <w:rFonts w:ascii="Calibri" w:hAnsi="Calibri"/>
                <w:color w:val="1F2937"/>
                <w:sz w:val="17"/>
              </w:rPr>
              <w:t>Stops per km²; weekday scheduled departures; distance to nearest stop</w:t>
            </w:r>
          </w:p>
        </w:tc>
        <w:tc>
          <w:tcPr>
            <w:tcW w:type="dxa" w:w="2860"/>
            <w:vAlign w:val="center"/>
            <w:shd w:fill="F8FAFC"/>
            <w:tcMar>
              <w:top w:w="80" w:type="dxa"/>
              <w:start w:w="120" w:type="dxa"/>
              <w:bottom w:w="80" w:type="dxa"/>
              <w:end w:w="120" w:type="dxa"/>
            </w:tcMar>
          </w:tcPr>
          <w:p>
            <w:pPr>
              <w:spacing w:after="0" w:line="240" w:lineRule="auto"/>
            </w:pPr>
            <w:r>
              <w:rPr>
                <w:rFonts w:ascii="Calibri" w:hAnsi="Calibri"/>
                <w:color w:val="1F2937"/>
                <w:sz w:val="17"/>
              </w:rPr>
              <w:t>Higher frequency / lower distance displayed separately</w:t>
            </w:r>
          </w:p>
        </w:tc>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7"/>
              </w:rPr>
              <w:t>TfNSW GTFS</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7"/>
              </w:rPr>
              <w:t>Education access</w:t>
            </w:r>
          </w:p>
        </w:tc>
        <w:tc>
          <w:tcPr>
            <w:tcW w:type="dxa" w:w="2900"/>
            <w:vAlign w:val="center"/>
            <w:tcMar>
              <w:top w:w="80" w:type="dxa"/>
              <w:start w:w="120" w:type="dxa"/>
              <w:bottom w:w="80" w:type="dxa"/>
              <w:end w:w="120" w:type="dxa"/>
            </w:tcMar>
          </w:tcPr>
          <w:p>
            <w:pPr>
              <w:spacing w:after="0" w:line="240" w:lineRule="auto"/>
            </w:pPr>
            <w:r>
              <w:rPr>
                <w:rFonts w:ascii="Calibri" w:hAnsi="Calibri"/>
                <w:color w:val="1F2937"/>
                <w:sz w:val="17"/>
              </w:rPr>
              <w:t>Government schools by type; nearest distance; density</w:t>
            </w:r>
          </w:p>
        </w:tc>
        <w:tc>
          <w:tcPr>
            <w:tcW w:type="dxa" w:w="2860"/>
            <w:vAlign w:val="center"/>
            <w:tcMar>
              <w:top w:w="80" w:type="dxa"/>
              <w:start w:w="120" w:type="dxa"/>
              <w:bottom w:w="80" w:type="dxa"/>
              <w:end w:w="120" w:type="dxa"/>
            </w:tcMar>
          </w:tcPr>
          <w:p>
            <w:pPr>
              <w:spacing w:after="0" w:line="240" w:lineRule="auto"/>
            </w:pPr>
            <w:r>
              <w:rPr>
                <w:rFonts w:ascii="Calibri" w:hAnsi="Calibri"/>
                <w:color w:val="1F2937"/>
                <w:sz w:val="17"/>
              </w:rPr>
              <w:t>Access only - not school quality</w:t>
            </w:r>
          </w:p>
        </w:tc>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NSW Department of Education</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7"/>
              </w:rPr>
              <w:t>Health and community</w:t>
            </w:r>
          </w:p>
        </w:tc>
        <w:tc>
          <w:tcPr>
            <w:tcW w:type="dxa" w:w="2900"/>
            <w:vAlign w:val="center"/>
            <w:shd w:fill="F8FAFC"/>
            <w:tcMar>
              <w:top w:w="80" w:type="dxa"/>
              <w:start w:w="120" w:type="dxa"/>
              <w:bottom w:w="80" w:type="dxa"/>
              <w:end w:w="120" w:type="dxa"/>
            </w:tcMar>
          </w:tcPr>
          <w:p>
            <w:pPr>
              <w:spacing w:after="0" w:line="240" w:lineRule="auto"/>
            </w:pPr>
            <w:r>
              <w:rPr>
                <w:rFonts w:ascii="Calibri" w:hAnsi="Calibri"/>
                <w:color w:val="1F2937"/>
                <w:sz w:val="17"/>
              </w:rPr>
              <w:t>Hospitals and selected POI categories; nearest distance / count</w:t>
            </w:r>
          </w:p>
        </w:tc>
        <w:tc>
          <w:tcPr>
            <w:tcW w:type="dxa" w:w="2860"/>
            <w:vAlign w:val="center"/>
            <w:shd w:fill="F8FAFC"/>
            <w:tcMar>
              <w:top w:w="80" w:type="dxa"/>
              <w:start w:w="120" w:type="dxa"/>
              <w:bottom w:w="80" w:type="dxa"/>
              <w:end w:w="120" w:type="dxa"/>
            </w:tcMar>
          </w:tcPr>
          <w:p>
            <w:pPr>
              <w:spacing w:after="0" w:line="240" w:lineRule="auto"/>
            </w:pPr>
            <w:r>
              <w:rPr>
                <w:rFonts w:ascii="Calibri" w:hAnsi="Calibri"/>
                <w:color w:val="1F2937"/>
                <w:sz w:val="17"/>
              </w:rPr>
              <w:t>Access only - not quality or capacity</w:t>
            </w:r>
          </w:p>
        </w:tc>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7"/>
              </w:rPr>
              <w:t>NSW Health / NSW POI</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7"/>
              </w:rPr>
              <w:t>Recreation and destinations</w:t>
            </w:r>
          </w:p>
        </w:tc>
        <w:tc>
          <w:tcPr>
            <w:tcW w:type="dxa" w:w="2900"/>
            <w:vAlign w:val="center"/>
            <w:tcMar>
              <w:top w:w="80" w:type="dxa"/>
              <w:start w:w="120" w:type="dxa"/>
              <w:bottom w:w="80" w:type="dxa"/>
              <w:end w:w="120" w:type="dxa"/>
            </w:tcMar>
          </w:tcPr>
          <w:p>
            <w:pPr>
              <w:spacing w:after="0" w:line="240" w:lineRule="auto"/>
            </w:pPr>
            <w:r>
              <w:rPr>
                <w:rFonts w:ascii="Calibri" w:hAnsi="Calibri"/>
                <w:color w:val="1F2937"/>
                <w:sz w:val="17"/>
              </w:rPr>
              <w:t>Selected recreation/community POIs by category</w:t>
            </w:r>
          </w:p>
        </w:tc>
        <w:tc>
          <w:tcPr>
            <w:tcW w:type="dxa" w:w="2860"/>
            <w:vAlign w:val="center"/>
            <w:tcMar>
              <w:top w:w="80" w:type="dxa"/>
              <w:start w:w="120" w:type="dxa"/>
              <w:bottom w:w="80" w:type="dxa"/>
              <w:end w:w="120" w:type="dxa"/>
            </w:tcMar>
          </w:tcPr>
          <w:p>
            <w:pPr>
              <w:spacing w:after="0" w:line="240" w:lineRule="auto"/>
            </w:pPr>
            <w:r>
              <w:rPr>
                <w:rFonts w:ascii="Calibri" w:hAnsi="Calibri"/>
                <w:color w:val="1F2937"/>
                <w:sz w:val="17"/>
              </w:rPr>
              <w:t>Destination access; not park area or walkability unless a network model exists</w:t>
            </w:r>
          </w:p>
        </w:tc>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NSW POI</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7"/>
              </w:rPr>
              <w:t>Socio-economic context</w:t>
            </w:r>
          </w:p>
        </w:tc>
        <w:tc>
          <w:tcPr>
            <w:tcW w:type="dxa" w:w="2900"/>
            <w:vAlign w:val="center"/>
            <w:shd w:fill="F8FAFC"/>
            <w:tcMar>
              <w:top w:w="80" w:type="dxa"/>
              <w:start w:w="120" w:type="dxa"/>
              <w:bottom w:w="80" w:type="dxa"/>
              <w:end w:w="120" w:type="dxa"/>
            </w:tcMar>
          </w:tcPr>
          <w:p>
            <w:pPr>
              <w:spacing w:after="0" w:line="240" w:lineRule="auto"/>
            </w:pPr>
            <w:r>
              <w:rPr>
                <w:rFonts w:ascii="Calibri" w:hAnsi="Calibri"/>
                <w:color w:val="1F2937"/>
                <w:sz w:val="17"/>
              </w:rPr>
              <w:t>SEIFA IRSAD/IRSD percentile and distribution metadata</w:t>
            </w:r>
          </w:p>
        </w:tc>
        <w:tc>
          <w:tcPr>
            <w:tcW w:type="dxa" w:w="2860"/>
            <w:vAlign w:val="center"/>
            <w:shd w:fill="F8FAFC"/>
            <w:tcMar>
              <w:top w:w="80" w:type="dxa"/>
              <w:start w:w="120" w:type="dxa"/>
              <w:bottom w:w="80" w:type="dxa"/>
              <w:end w:w="120" w:type="dxa"/>
            </w:tcMar>
          </w:tcPr>
          <w:p>
            <w:pPr>
              <w:spacing w:after="0" w:line="240" w:lineRule="auto"/>
            </w:pPr>
            <w:r>
              <w:rPr>
                <w:rFonts w:ascii="Calibri" w:hAnsi="Calibri"/>
                <w:color w:val="1F2937"/>
                <w:sz w:val="17"/>
              </w:rPr>
              <w:t>Context, not a quality judgement; never infer an individual's status</w:t>
            </w:r>
          </w:p>
        </w:tc>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7"/>
              </w:rPr>
              <w:t>ABS SEIFA</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7"/>
              </w:rPr>
              <w:t>Population and households</w:t>
            </w:r>
          </w:p>
        </w:tc>
        <w:tc>
          <w:tcPr>
            <w:tcW w:type="dxa" w:w="2900"/>
            <w:vAlign w:val="center"/>
            <w:tcMar>
              <w:top w:w="80" w:type="dxa"/>
              <w:start w:w="120" w:type="dxa"/>
              <w:bottom w:w="80" w:type="dxa"/>
              <w:end w:w="120" w:type="dxa"/>
            </w:tcMar>
          </w:tcPr>
          <w:p>
            <w:pPr>
              <w:spacing w:after="0" w:line="240" w:lineRule="auto"/>
            </w:pPr>
            <w:r>
              <w:rPr>
                <w:rFonts w:ascii="Calibri" w:hAnsi="Calibri"/>
                <w:color w:val="1F2937"/>
                <w:sz w:val="17"/>
              </w:rPr>
              <w:t>Population, density, age structure, household composition</w:t>
            </w:r>
          </w:p>
        </w:tc>
        <w:tc>
          <w:tcPr>
            <w:tcW w:type="dxa" w:w="2860"/>
            <w:vAlign w:val="center"/>
            <w:tcMar>
              <w:top w:w="80" w:type="dxa"/>
              <w:start w:w="120" w:type="dxa"/>
              <w:bottom w:w="80" w:type="dxa"/>
              <w:end w:w="120" w:type="dxa"/>
            </w:tcMar>
          </w:tcPr>
          <w:p>
            <w:pPr>
              <w:spacing w:after="0" w:line="240" w:lineRule="auto"/>
            </w:pPr>
            <w:r>
              <w:rPr>
                <w:rFonts w:ascii="Calibri" w:hAnsi="Calibri"/>
                <w:color w:val="1F2937"/>
                <w:sz w:val="17"/>
              </w:rPr>
              <w:t>Descriptive context; no directional score</w:t>
            </w:r>
          </w:p>
        </w:tc>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ABS Census</w:t>
            </w:r>
          </w:p>
        </w:tc>
      </w:tr>
    </w:tbl>
    <w:p>
      <w:pPr>
        <w:spacing w:after="40"/>
      </w:pPr>
    </w:p>
    <w:p>
      <w:pPr>
        <w:pStyle w:val="Heading2"/>
      </w:pPr>
      <w:r>
        <w:t>Normalisation method for display percentiles</w:t>
      </w:r>
    </w:p>
    <w:p>
      <w:r>
        <w:rPr>
          <w:rFonts w:ascii="Calibri" w:hAnsi="Calibri"/>
        </w:rPr>
        <w:t>For an approved metric and cohort, remove suppressed/unavailable observations; apply documented caps only if outlier policy is approved; rank valid raw values; reverse only metrics whose direction has been explicitly approved; then map the percentile to 0-100. Persist metric_code, raw_value, unit, cohort_key, direction, valid_n, percentile, method_version, source_release_id, and computed_at. A percentile is recomputed when the accepted source release or cohort changes.</w:t>
      </w:r>
    </w:p>
    <w:p>
      <w:pPr>
        <w:numPr>
          <w:ilvl w:val="0"/>
          <w:numId w:val="1"/>
        </w:numPr>
        <w:spacing w:after="160" w:line="280" w:lineRule="auto"/>
      </w:pPr>
      <w:r>
        <w:rPr>
          <w:rFonts w:ascii="Calibri" w:hAnsi="Calibri"/>
        </w:rPr>
        <w:t>Minimum cohort: require at least 20 valid suburbs before showing a percentile; otherwise show only the raw value.</w:t>
      </w:r>
    </w:p>
    <w:p>
      <w:pPr>
        <w:numPr>
          <w:ilvl w:val="0"/>
          <w:numId w:val="1"/>
        </w:numPr>
        <w:spacing w:after="160" w:line="280" w:lineRule="auto"/>
      </w:pPr>
      <w:r>
        <w:rPr>
          <w:rFonts w:ascii="Calibri" w:hAnsi="Calibri"/>
        </w:rPr>
        <w:t>Coverage gate: an optional dimension summary requires at least 80% of its declared component weight; missing components are never imputed silently.</w:t>
      </w:r>
    </w:p>
    <w:p>
      <w:pPr>
        <w:numPr>
          <w:ilvl w:val="0"/>
          <w:numId w:val="1"/>
        </w:numPr>
        <w:spacing w:after="160" w:line="280" w:lineRule="auto"/>
      </w:pPr>
      <w:r>
        <w:rPr>
          <w:rFonts w:ascii="Calibri" w:hAnsi="Calibri"/>
        </w:rPr>
        <w:t>Reproducibility: calculations use Decimal or documented integer arithmetic where applicable, stable tie handling, and deterministic tests.</w:t>
      </w:r>
    </w:p>
    <w:p>
      <w:pPr>
        <w:numPr>
          <w:ilvl w:val="0"/>
          <w:numId w:val="1"/>
        </w:numPr>
        <w:spacing w:after="160" w:line="280" w:lineRule="auto"/>
      </w:pPr>
      <w:r>
        <w:rPr>
          <w:rFonts w:ascii="Calibri" w:hAnsi="Calibri"/>
        </w:rPr>
        <w:t>Comparability: the compare endpoint rejects mixed units, periods, source vintages, or method versions unless the response clearly separates them.</w:t>
      </w:r>
    </w:p>
    <w:p>
      <w:pPr>
        <w:numPr>
          <w:ilvl w:val="0"/>
          <w:numId w:val="1"/>
        </w:numPr>
        <w:spacing w:after="160" w:line="280" w:lineRule="auto"/>
      </w:pPr>
      <w:r>
        <w:rPr>
          <w:rFonts w:ascii="Calibri" w:hAnsi="Calibri"/>
        </w:rPr>
        <w:t>No personalised weighting in MVP: user-adjustable weights create a recommendation-like product and need explicit scope and UX approval.</w:t>
      </w:r>
    </w:p>
    <w:p>
      <w:pPr>
        <w:pStyle w:val="Heading2"/>
      </w:pPr>
      <w:r>
        <w:t>Crime-specific rules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Rule</w:t>
            </w:r>
          </w:p>
        </w:tc>
        <w:tc>
          <w:tcPr>
            <w:tcW w:type="dxa" w:w="74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Implementation</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Observed meaning</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A row is a recorded criminal incident count reported by BOCSAR for a named geography, offence classification, and month.</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Zero vs missing</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Zero means a published zero for that period/category. Missing means no supported observation or incomplete source coverage. They render differently.</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Rates</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Show a rate only with a named denominator, denominator year/geography, and method. Prefer publisher-supplied rates; otherwise restrict calculated rates to clearly labelled, aligned periods.</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Small numbers</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Flag unstable comparisons; suppress derived percentage change where the prior period is zero or below the approved minimum count.</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Period comparison</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Compare equal-length, contiguous periods using the same offence definition and source release. Never compare partial current year with a full prior year.</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Language</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Use recorded incidents, count, rate, and trend. Avoid safe, dangerous, crime-free, guarantee, prediction, and causal claims.</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Geography</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BOCSAR suburb naming is mapped through a versioned crosswalk; unmatched or ambiguous records are quarantined and never guessed.</w:t>
            </w:r>
          </w:p>
        </w:tc>
      </w:tr>
    </w:tbl>
    <w:p>
      <w:pPr>
        <w:spacing w:after="40"/>
      </w:pPr>
    </w:p>
    <w:p>
      <w:r>
        <w:br w:type="page"/>
      </w:r>
    </w:p>
    <w:p>
      <w:pPr>
        <w:pStyle w:val="Heading1"/>
      </w:pPr>
      <w:r>
        <w:t>Datasets and provenance</w:t>
      </w:r>
    </w:p>
    <w:p>
      <w:r>
        <w:rPr>
          <w:rFonts w:ascii="Calibri" w:hAnsi="Calibri"/>
        </w:rPr>
        <w:t>The dataset register below separates authoritative identity, statistical context, crime, and amenity inputs. URLs and update observations were checked on 2 September 2026. Access methods and licence metadata must be revalidated before production ingestion; the application should preserve the publisher's terms and attribution in every accepted release.</w:t>
      </w:r>
    </w:p>
    <w:tbl>
      <w:tblPr>
        <w:tblStyle w:val="TableGrid"/>
        <w:tblW w:type="dxa" w:w="9360"/>
        <w:jc w:val="left"/>
        <w:tblLayout w:type="fixed"/>
        <w:tblLook w:firstColumn="1" w:firstRow="1" w:lastColumn="0" w:lastRow="0" w:noHBand="0" w:noVBand="1" w:val="04A0"/>
        <w:tblInd w:w="120" w:type="dxa"/>
      </w:tblPr>
      <w:tblGrid>
        <w:gridCol w:w="1500"/>
        <w:gridCol w:w="1660"/>
        <w:gridCol w:w="1240"/>
        <w:gridCol w:w="1150"/>
        <w:gridCol w:w="1890"/>
        <w:gridCol w:w="1920"/>
      </w:tblGrid>
      <w:tr>
        <w:trPr>
          <w:tblHeader w:val="true"/>
          <w:cantSplit/>
        </w:trPr>
        <w:tc>
          <w:tcPr>
            <w:tcW w:type="dxa" w:w="15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ID / dataset</w:t>
            </w:r>
          </w:p>
        </w:tc>
        <w:tc>
          <w:tcPr>
            <w:tcW w:type="dxa" w:w="16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Purpose / grain</w:t>
            </w:r>
          </w:p>
        </w:tc>
        <w:tc>
          <w:tcPr>
            <w:tcW w:type="dxa" w:w="124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Access</w:t>
            </w:r>
          </w:p>
        </w:tc>
        <w:tc>
          <w:tcPr>
            <w:tcW w:type="dxa" w:w="115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Expected refresh</w:t>
            </w:r>
          </w:p>
        </w:tc>
        <w:tc>
          <w:tcPr>
            <w:tcW w:type="dxa" w:w="189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Key fields</w:t>
            </w:r>
          </w:p>
        </w:tc>
        <w:tc>
          <w:tcPr>
            <w:tcW w:type="dxa" w:w="192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Important caveat</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5"/>
              </w:rPr>
              <w:t>D1 NSW Suburb GDA2020</w:t>
            </w:r>
          </w:p>
        </w:tc>
        <w:tc>
          <w:tcPr>
            <w:tcW w:type="dxa" w:w="1660"/>
            <w:vAlign w:val="center"/>
            <w:tcMar>
              <w:top w:w="80" w:type="dxa"/>
              <w:start w:w="120" w:type="dxa"/>
              <w:bottom w:w="80" w:type="dxa"/>
              <w:end w:w="120" w:type="dxa"/>
            </w:tcMar>
          </w:tcPr>
          <w:p>
            <w:pPr>
              <w:spacing w:after="0" w:line="240" w:lineRule="auto"/>
            </w:pPr>
            <w:r>
              <w:rPr>
                <w:rFonts w:ascii="Calibri" w:hAnsi="Calibri"/>
                <w:color w:val="1F2937"/>
                <w:sz w:val="15"/>
              </w:rPr>
              <w:t>Gazetted suburb/locality identity and map boundary</w:t>
            </w:r>
          </w:p>
        </w:tc>
        <w:tc>
          <w:tcPr>
            <w:tcW w:type="dxa" w:w="1240"/>
            <w:vAlign w:val="center"/>
            <w:tcMar>
              <w:top w:w="80" w:type="dxa"/>
              <w:start w:w="120" w:type="dxa"/>
              <w:bottom w:w="80" w:type="dxa"/>
              <w:end w:w="120" w:type="dxa"/>
            </w:tcMar>
          </w:tcPr>
          <w:p>
            <w:pPr>
              <w:spacing w:after="0" w:line="240" w:lineRule="auto"/>
            </w:pPr>
            <w:r>
              <w:rPr>
                <w:rFonts w:ascii="Calibri" w:hAnsi="Calibri"/>
                <w:color w:val="1F2937"/>
                <w:sz w:val="15"/>
              </w:rPr>
              <w:t>ArcGIS REST / export</w:t>
            </w:r>
          </w:p>
        </w:tc>
        <w:tc>
          <w:tcPr>
            <w:tcW w:type="dxa" w:w="1150"/>
            <w:vAlign w:val="center"/>
            <w:tcMar>
              <w:top w:w="80" w:type="dxa"/>
              <w:start w:w="120" w:type="dxa"/>
              <w:bottom w:w="80" w:type="dxa"/>
              <w:end w:w="120" w:type="dxa"/>
            </w:tcMar>
          </w:tcPr>
          <w:p>
            <w:pPr>
              <w:spacing w:after="0" w:line="240" w:lineRule="auto"/>
            </w:pPr>
            <w:r>
              <w:rPr>
                <w:rFonts w:ascii="Calibri" w:hAnsi="Calibri"/>
                <w:color w:val="1F2937"/>
                <w:sz w:val="15"/>
              </w:rPr>
              <w:t>As source changes</w:t>
            </w:r>
          </w:p>
        </w:tc>
        <w:tc>
          <w:tcPr>
            <w:tcW w:type="dxa" w:w="1890"/>
            <w:vAlign w:val="center"/>
            <w:tcMar>
              <w:top w:w="80" w:type="dxa"/>
              <w:start w:w="120" w:type="dxa"/>
              <w:bottom w:w="80" w:type="dxa"/>
              <w:end w:w="120" w:type="dxa"/>
            </w:tcMar>
          </w:tcPr>
          <w:p>
            <w:pPr>
              <w:spacing w:after="0" w:line="240" w:lineRule="auto"/>
            </w:pPr>
            <w:r>
              <w:rPr>
                <w:rFonts w:ascii="Calibri" w:hAnsi="Calibri"/>
                <w:color w:val="1F2937"/>
                <w:sz w:val="15"/>
              </w:rPr>
              <w:t>NSW code, name, postcode, geometry</w:t>
            </w:r>
          </w:p>
        </w:tc>
        <w:tc>
          <w:tcPr>
            <w:tcW w:type="dxa" w:w="1920"/>
            <w:vAlign w:val="center"/>
            <w:tcMar>
              <w:top w:w="80" w:type="dxa"/>
              <w:start w:w="120" w:type="dxa"/>
              <w:bottom w:w="80" w:type="dxa"/>
              <w:end w:w="120" w:type="dxa"/>
            </w:tcMar>
          </w:tcPr>
          <w:p>
            <w:pPr>
              <w:spacing w:after="0" w:line="240" w:lineRule="auto"/>
            </w:pPr>
            <w:r>
              <w:rPr>
                <w:rFonts w:ascii="Calibri" w:hAnsi="Calibri"/>
                <w:color w:val="1F2937"/>
                <w:sz w:val="15"/>
              </w:rPr>
              <w:t>Product identity; GDA2020 service. Do not substitute ABS SAL boundary.</w:t>
            </w:r>
          </w:p>
        </w:tc>
      </w:tr>
      <w:tr>
        <w:trPr>
          <w:cantSplit/>
        </w:trPr>
        <w:tc>
          <w:tcPr>
            <w:tcW w:type="dxa" w:w="1500"/>
            <w:vAlign w:val="center"/>
            <w:shd w:fill="F8FAFC"/>
            <w:tcMar>
              <w:top w:w="80" w:type="dxa"/>
              <w:start w:w="120" w:type="dxa"/>
              <w:bottom w:w="80" w:type="dxa"/>
              <w:end w:w="120" w:type="dxa"/>
            </w:tcMar>
          </w:tcPr>
          <w:p>
            <w:pPr>
              <w:spacing w:after="0" w:line="240" w:lineRule="auto"/>
            </w:pPr>
            <w:r>
              <w:rPr>
                <w:rFonts w:ascii="Calibri" w:hAnsi="Calibri"/>
                <w:color w:val="1F2937"/>
                <w:sz w:val="15"/>
              </w:rPr>
              <w:t>D2 NSW LGA GDA2020 + concordance</w:t>
            </w:r>
          </w:p>
        </w:tc>
        <w:tc>
          <w:tcPr>
            <w:tcW w:type="dxa" w:w="1660"/>
            <w:vAlign w:val="center"/>
            <w:shd w:fill="F8FAFC"/>
            <w:tcMar>
              <w:top w:w="80" w:type="dxa"/>
              <w:start w:w="120" w:type="dxa"/>
              <w:bottom w:w="80" w:type="dxa"/>
              <w:end w:w="120" w:type="dxa"/>
            </w:tcMar>
          </w:tcPr>
          <w:p>
            <w:pPr>
              <w:spacing w:after="0" w:line="240" w:lineRule="auto"/>
            </w:pPr>
            <w:r>
              <w:rPr>
                <w:rFonts w:ascii="Calibri" w:hAnsi="Calibri"/>
                <w:color w:val="1F2937"/>
                <w:sz w:val="15"/>
              </w:rPr>
              <w:t>LGA membership and boundary</w:t>
            </w:r>
          </w:p>
        </w:tc>
        <w:tc>
          <w:tcPr>
            <w:tcW w:type="dxa" w:w="1240"/>
            <w:vAlign w:val="center"/>
            <w:shd w:fill="F8FAFC"/>
            <w:tcMar>
              <w:top w:w="80" w:type="dxa"/>
              <w:start w:w="120" w:type="dxa"/>
              <w:bottom w:w="80" w:type="dxa"/>
              <w:end w:w="120" w:type="dxa"/>
            </w:tcMar>
          </w:tcPr>
          <w:p>
            <w:pPr>
              <w:spacing w:after="0" w:line="240" w:lineRule="auto"/>
            </w:pPr>
            <w:r>
              <w:rPr>
                <w:rFonts w:ascii="Calibri" w:hAnsi="Calibri"/>
                <w:color w:val="1F2937"/>
                <w:sz w:val="15"/>
              </w:rPr>
              <w:t>ArcGIS REST / export</w:t>
            </w:r>
          </w:p>
        </w:tc>
        <w:tc>
          <w:tcPr>
            <w:tcW w:type="dxa" w:w="1150"/>
            <w:vAlign w:val="center"/>
            <w:shd w:fill="F8FAFC"/>
            <w:tcMar>
              <w:top w:w="80" w:type="dxa"/>
              <w:start w:w="120" w:type="dxa"/>
              <w:bottom w:w="80" w:type="dxa"/>
              <w:end w:w="120" w:type="dxa"/>
            </w:tcMar>
          </w:tcPr>
          <w:p>
            <w:pPr>
              <w:spacing w:after="0" w:line="240" w:lineRule="auto"/>
            </w:pPr>
            <w:r>
              <w:rPr>
                <w:rFonts w:ascii="Calibri" w:hAnsi="Calibri"/>
                <w:color w:val="1F2937"/>
                <w:sz w:val="15"/>
              </w:rPr>
              <w:t>Daily/as source changes</w:t>
            </w:r>
          </w:p>
        </w:tc>
        <w:tc>
          <w:tcPr>
            <w:tcW w:type="dxa" w:w="1890"/>
            <w:vAlign w:val="center"/>
            <w:shd w:fill="F8FAFC"/>
            <w:tcMar>
              <w:top w:w="80" w:type="dxa"/>
              <w:start w:w="120" w:type="dxa"/>
              <w:bottom w:w="80" w:type="dxa"/>
              <w:end w:w="120" w:type="dxa"/>
            </w:tcMar>
          </w:tcPr>
          <w:p>
            <w:pPr>
              <w:spacing w:after="0" w:line="240" w:lineRule="auto"/>
            </w:pPr>
            <w:r>
              <w:rPr>
                <w:rFonts w:ascii="Calibri" w:hAnsi="Calibri"/>
                <w:color w:val="1F2937"/>
                <w:sz w:val="15"/>
              </w:rPr>
              <w:t>LGA codes/names, geometry, area-share crosswalk</w:t>
            </w:r>
          </w:p>
        </w:tc>
        <w:tc>
          <w:tcPr>
            <w:tcW w:type="dxa" w:w="1920"/>
            <w:vAlign w:val="center"/>
            <w:shd w:fill="F8FAFC"/>
            <w:tcMar>
              <w:top w:w="80" w:type="dxa"/>
              <w:start w:w="120" w:type="dxa"/>
              <w:bottom w:w="80" w:type="dxa"/>
              <w:end w:w="120" w:type="dxa"/>
            </w:tcMar>
          </w:tcPr>
          <w:p>
            <w:pPr>
              <w:spacing w:after="0" w:line="240" w:lineRule="auto"/>
            </w:pPr>
            <w:r>
              <w:rPr>
                <w:rFonts w:ascii="Calibri" w:hAnsi="Calibri"/>
                <w:color w:val="1F2937"/>
                <w:sz w:val="15"/>
              </w:rPr>
              <w:t>A suburb may intersect more than one LGA; store all memberships.</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5"/>
              </w:rPr>
              <w:t>D3 ABS ASGS SAL + allocations</w:t>
            </w:r>
          </w:p>
        </w:tc>
        <w:tc>
          <w:tcPr>
            <w:tcW w:type="dxa" w:w="1660"/>
            <w:vAlign w:val="center"/>
            <w:tcMar>
              <w:top w:w="80" w:type="dxa"/>
              <w:start w:w="120" w:type="dxa"/>
              <w:bottom w:w="80" w:type="dxa"/>
              <w:end w:w="120" w:type="dxa"/>
            </w:tcMar>
          </w:tcPr>
          <w:p>
            <w:pPr>
              <w:spacing w:after="0" w:line="240" w:lineRule="auto"/>
            </w:pPr>
            <w:r>
              <w:rPr>
                <w:rFonts w:ascii="Calibri" w:hAnsi="Calibri"/>
                <w:color w:val="1F2937"/>
                <w:sz w:val="15"/>
              </w:rPr>
              <w:t>Statistical geography and code crosswalk</w:t>
            </w:r>
          </w:p>
        </w:tc>
        <w:tc>
          <w:tcPr>
            <w:tcW w:type="dxa" w:w="1240"/>
            <w:vAlign w:val="center"/>
            <w:tcMar>
              <w:top w:w="80" w:type="dxa"/>
              <w:start w:w="120" w:type="dxa"/>
              <w:bottom w:w="80" w:type="dxa"/>
              <w:end w:w="120" w:type="dxa"/>
            </w:tcMar>
          </w:tcPr>
          <w:p>
            <w:pPr>
              <w:spacing w:after="0" w:line="240" w:lineRule="auto"/>
            </w:pPr>
            <w:r>
              <w:rPr>
                <w:rFonts w:ascii="Calibri" w:hAnsi="Calibri"/>
                <w:color w:val="1F2937"/>
                <w:sz w:val="15"/>
              </w:rPr>
              <w:t>GeoPackage/Shapefile/XLSX</w:t>
            </w:r>
          </w:p>
        </w:tc>
        <w:tc>
          <w:tcPr>
            <w:tcW w:type="dxa" w:w="1150"/>
            <w:vAlign w:val="center"/>
            <w:tcMar>
              <w:top w:w="80" w:type="dxa"/>
              <w:start w:w="120" w:type="dxa"/>
              <w:bottom w:w="80" w:type="dxa"/>
              <w:end w:w="120" w:type="dxa"/>
            </w:tcMar>
          </w:tcPr>
          <w:p>
            <w:pPr>
              <w:spacing w:after="0" w:line="240" w:lineRule="auto"/>
            </w:pPr>
            <w:r>
              <w:rPr>
                <w:rFonts w:ascii="Calibri" w:hAnsi="Calibri"/>
                <w:color w:val="1F2937"/>
                <w:sz w:val="15"/>
              </w:rPr>
              <w:t>ASGS edition</w:t>
            </w:r>
          </w:p>
        </w:tc>
        <w:tc>
          <w:tcPr>
            <w:tcW w:type="dxa" w:w="1890"/>
            <w:vAlign w:val="center"/>
            <w:tcMar>
              <w:top w:w="80" w:type="dxa"/>
              <w:start w:w="120" w:type="dxa"/>
              <w:bottom w:w="80" w:type="dxa"/>
              <w:end w:w="120" w:type="dxa"/>
            </w:tcMar>
          </w:tcPr>
          <w:p>
            <w:pPr>
              <w:spacing w:after="0" w:line="240" w:lineRule="auto"/>
            </w:pPr>
            <w:r>
              <w:rPr>
                <w:rFonts w:ascii="Calibri" w:hAnsi="Calibri"/>
                <w:color w:val="1F2937"/>
                <w:sz w:val="15"/>
              </w:rPr>
              <w:t>SAL code/name, SA2/LGA allocations</w:t>
            </w:r>
          </w:p>
        </w:tc>
        <w:tc>
          <w:tcPr>
            <w:tcW w:type="dxa" w:w="1920"/>
            <w:vAlign w:val="center"/>
            <w:tcMar>
              <w:top w:w="80" w:type="dxa"/>
              <w:start w:w="120" w:type="dxa"/>
              <w:bottom w:w="80" w:type="dxa"/>
              <w:end w:w="120" w:type="dxa"/>
            </w:tcMar>
          </w:tcPr>
          <w:p>
            <w:pPr>
              <w:spacing w:after="0" w:line="240" w:lineRule="auto"/>
            </w:pPr>
            <w:r>
              <w:rPr>
                <w:rFonts w:ascii="Calibri" w:hAnsi="Calibri"/>
                <w:color w:val="1F2937"/>
                <w:sz w:val="15"/>
              </w:rPr>
              <w:t>SAL is an ABS approximation for statistical use, not the gazetted boundary.</w:t>
            </w:r>
          </w:p>
        </w:tc>
      </w:tr>
      <w:tr>
        <w:trPr>
          <w:cantSplit/>
        </w:trPr>
        <w:tc>
          <w:tcPr>
            <w:tcW w:type="dxa" w:w="1500"/>
            <w:vAlign w:val="center"/>
            <w:shd w:fill="F8FAFC"/>
            <w:tcMar>
              <w:top w:w="80" w:type="dxa"/>
              <w:start w:w="120" w:type="dxa"/>
              <w:bottom w:w="80" w:type="dxa"/>
              <w:end w:w="120" w:type="dxa"/>
            </w:tcMar>
          </w:tcPr>
          <w:p>
            <w:pPr>
              <w:spacing w:after="0" w:line="240" w:lineRule="auto"/>
            </w:pPr>
            <w:r>
              <w:rPr>
                <w:rFonts w:ascii="Calibri" w:hAnsi="Calibri"/>
                <w:color w:val="1F2937"/>
                <w:sz w:val="15"/>
              </w:rPr>
              <w:t>D4 ABS Census 2021 GCP</w:t>
            </w:r>
          </w:p>
        </w:tc>
        <w:tc>
          <w:tcPr>
            <w:tcW w:type="dxa" w:w="1660"/>
            <w:vAlign w:val="center"/>
            <w:shd w:fill="F8FAFC"/>
            <w:tcMar>
              <w:top w:w="80" w:type="dxa"/>
              <w:start w:w="120" w:type="dxa"/>
              <w:bottom w:w="80" w:type="dxa"/>
              <w:end w:w="120" w:type="dxa"/>
            </w:tcMar>
          </w:tcPr>
          <w:p>
            <w:pPr>
              <w:spacing w:after="0" w:line="240" w:lineRule="auto"/>
            </w:pPr>
            <w:r>
              <w:rPr>
                <w:rFonts w:ascii="Calibri" w:hAnsi="Calibri"/>
                <w:color w:val="1F2937"/>
                <w:sz w:val="15"/>
              </w:rPr>
              <w:t>Population, people, families, dwellings at SAL</w:t>
            </w:r>
          </w:p>
        </w:tc>
        <w:tc>
          <w:tcPr>
            <w:tcW w:type="dxa" w:w="1240"/>
            <w:vAlign w:val="center"/>
            <w:shd w:fill="F8FAFC"/>
            <w:tcMar>
              <w:top w:w="80" w:type="dxa"/>
              <w:start w:w="120" w:type="dxa"/>
              <w:bottom w:w="80" w:type="dxa"/>
              <w:end w:w="120" w:type="dxa"/>
            </w:tcMar>
          </w:tcPr>
          <w:p>
            <w:pPr>
              <w:spacing w:after="0" w:line="240" w:lineRule="auto"/>
            </w:pPr>
            <w:r>
              <w:rPr>
                <w:rFonts w:ascii="Calibri" w:hAnsi="Calibri"/>
                <w:color w:val="1F2937"/>
                <w:sz w:val="15"/>
              </w:rPr>
              <w:t>Bulk DataPack ZIP/CSV</w:t>
            </w:r>
          </w:p>
        </w:tc>
        <w:tc>
          <w:tcPr>
            <w:tcW w:type="dxa" w:w="1150"/>
            <w:vAlign w:val="center"/>
            <w:shd w:fill="F8FAFC"/>
            <w:tcMar>
              <w:top w:w="80" w:type="dxa"/>
              <w:start w:w="120" w:type="dxa"/>
              <w:bottom w:w="80" w:type="dxa"/>
              <w:end w:w="120" w:type="dxa"/>
            </w:tcMar>
          </w:tcPr>
          <w:p>
            <w:pPr>
              <w:spacing w:after="0" w:line="240" w:lineRule="auto"/>
            </w:pPr>
            <w:r>
              <w:rPr>
                <w:rFonts w:ascii="Calibri" w:hAnsi="Calibri"/>
                <w:color w:val="1F2937"/>
                <w:sz w:val="15"/>
              </w:rPr>
              <w:t>Five-year Census</w:t>
            </w:r>
          </w:p>
        </w:tc>
        <w:tc>
          <w:tcPr>
            <w:tcW w:type="dxa" w:w="1890"/>
            <w:vAlign w:val="center"/>
            <w:shd w:fill="F8FAFC"/>
            <w:tcMar>
              <w:top w:w="80" w:type="dxa"/>
              <w:start w:w="120" w:type="dxa"/>
              <w:bottom w:w="80" w:type="dxa"/>
              <w:end w:w="120" w:type="dxa"/>
            </w:tcMar>
          </w:tcPr>
          <w:p>
            <w:pPr>
              <w:spacing w:after="0" w:line="240" w:lineRule="auto"/>
            </w:pPr>
            <w:r>
              <w:rPr>
                <w:rFonts w:ascii="Calibri" w:hAnsi="Calibri"/>
                <w:color w:val="1F2937"/>
                <w:sz w:val="15"/>
              </w:rPr>
              <w:t>Population, age, household, income, tenure</w:t>
            </w:r>
          </w:p>
        </w:tc>
        <w:tc>
          <w:tcPr>
            <w:tcW w:type="dxa" w:w="1920"/>
            <w:vAlign w:val="center"/>
            <w:shd w:fill="F8FAFC"/>
            <w:tcMar>
              <w:top w:w="80" w:type="dxa"/>
              <w:start w:w="120" w:type="dxa"/>
              <w:bottom w:w="80" w:type="dxa"/>
              <w:end w:w="120" w:type="dxa"/>
            </w:tcMar>
          </w:tcPr>
          <w:p>
            <w:pPr>
              <w:spacing w:after="0" w:line="240" w:lineRule="auto"/>
            </w:pPr>
            <w:r>
              <w:rPr>
                <w:rFonts w:ascii="Calibri" w:hAnsi="Calibri"/>
                <w:color w:val="1F2937"/>
                <w:sz w:val="15"/>
              </w:rPr>
              <w:t>Snapshot at Census reference date; suppression/not-stated retained.</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5"/>
              </w:rPr>
              <w:t>D5 ABS SEIFA 2021</w:t>
            </w:r>
          </w:p>
        </w:tc>
        <w:tc>
          <w:tcPr>
            <w:tcW w:type="dxa" w:w="1660"/>
            <w:vAlign w:val="center"/>
            <w:tcMar>
              <w:top w:w="80" w:type="dxa"/>
              <w:start w:w="120" w:type="dxa"/>
              <w:bottom w:w="80" w:type="dxa"/>
              <w:end w:w="120" w:type="dxa"/>
            </w:tcMar>
          </w:tcPr>
          <w:p>
            <w:pPr>
              <w:spacing w:after="0" w:line="240" w:lineRule="auto"/>
            </w:pPr>
            <w:r>
              <w:rPr>
                <w:rFonts w:ascii="Calibri" w:hAnsi="Calibri"/>
                <w:color w:val="1F2937"/>
                <w:sz w:val="15"/>
              </w:rPr>
              <w:t>Area-level socio-economic context at SAL</w:t>
            </w:r>
          </w:p>
        </w:tc>
        <w:tc>
          <w:tcPr>
            <w:tcW w:type="dxa" w:w="1240"/>
            <w:vAlign w:val="center"/>
            <w:tcMar>
              <w:top w:w="80" w:type="dxa"/>
              <w:start w:w="120" w:type="dxa"/>
              <w:bottom w:w="80" w:type="dxa"/>
              <w:end w:w="120" w:type="dxa"/>
            </w:tcMar>
          </w:tcPr>
          <w:p>
            <w:pPr>
              <w:spacing w:after="0" w:line="240" w:lineRule="auto"/>
            </w:pPr>
            <w:r>
              <w:rPr>
                <w:rFonts w:ascii="Calibri" w:hAnsi="Calibri"/>
                <w:color w:val="1F2937"/>
                <w:sz w:val="15"/>
              </w:rPr>
              <w:t>XLSX / web service</w:t>
            </w:r>
          </w:p>
        </w:tc>
        <w:tc>
          <w:tcPr>
            <w:tcW w:type="dxa" w:w="1150"/>
            <w:vAlign w:val="center"/>
            <w:tcMar>
              <w:top w:w="80" w:type="dxa"/>
              <w:start w:w="120" w:type="dxa"/>
              <w:bottom w:w="80" w:type="dxa"/>
              <w:end w:w="120" w:type="dxa"/>
            </w:tcMar>
          </w:tcPr>
          <w:p>
            <w:pPr>
              <w:spacing w:after="0" w:line="240" w:lineRule="auto"/>
            </w:pPr>
            <w:r>
              <w:rPr>
                <w:rFonts w:ascii="Calibri" w:hAnsi="Calibri"/>
                <w:color w:val="1F2937"/>
                <w:sz w:val="15"/>
              </w:rPr>
              <w:t>Census cycle</w:t>
            </w:r>
          </w:p>
        </w:tc>
        <w:tc>
          <w:tcPr>
            <w:tcW w:type="dxa" w:w="1890"/>
            <w:vAlign w:val="center"/>
            <w:tcMar>
              <w:top w:w="80" w:type="dxa"/>
              <w:start w:w="120" w:type="dxa"/>
              <w:bottom w:w="80" w:type="dxa"/>
              <w:end w:w="120" w:type="dxa"/>
            </w:tcMar>
          </w:tcPr>
          <w:p>
            <w:pPr>
              <w:spacing w:after="0" w:line="240" w:lineRule="auto"/>
            </w:pPr>
            <w:r>
              <w:rPr>
                <w:rFonts w:ascii="Calibri" w:hAnsi="Calibri"/>
                <w:color w:val="1F2937"/>
                <w:sz w:val="15"/>
              </w:rPr>
              <w:t>IRSD/IRSAD/IER/IEO score, rank, decile, percentile</w:t>
            </w:r>
          </w:p>
        </w:tc>
        <w:tc>
          <w:tcPr>
            <w:tcW w:type="dxa" w:w="1920"/>
            <w:vAlign w:val="center"/>
            <w:tcMar>
              <w:top w:w="80" w:type="dxa"/>
              <w:start w:w="120" w:type="dxa"/>
              <w:bottom w:w="80" w:type="dxa"/>
              <w:end w:w="120" w:type="dxa"/>
            </w:tcMar>
          </w:tcPr>
          <w:p>
            <w:pPr>
              <w:spacing w:after="0" w:line="240" w:lineRule="auto"/>
            </w:pPr>
            <w:r>
              <w:rPr>
                <w:rFonts w:ascii="Calibri" w:hAnsi="Calibri"/>
                <w:color w:val="1F2937"/>
                <w:sz w:val="15"/>
              </w:rPr>
              <w:t>Area index, not an individual measure or quality score.</w:t>
            </w:r>
          </w:p>
        </w:tc>
      </w:tr>
      <w:tr>
        <w:trPr>
          <w:cantSplit/>
        </w:trPr>
        <w:tc>
          <w:tcPr>
            <w:tcW w:type="dxa" w:w="1500"/>
            <w:vAlign w:val="center"/>
            <w:shd w:fill="F8FAFC"/>
            <w:tcMar>
              <w:top w:w="80" w:type="dxa"/>
              <w:start w:w="120" w:type="dxa"/>
              <w:bottom w:w="80" w:type="dxa"/>
              <w:end w:w="120" w:type="dxa"/>
            </w:tcMar>
          </w:tcPr>
          <w:p>
            <w:pPr>
              <w:spacing w:after="0" w:line="240" w:lineRule="auto"/>
            </w:pPr>
            <w:r>
              <w:rPr>
                <w:rFonts w:ascii="Calibri" w:hAnsi="Calibri"/>
                <w:color w:val="1F2937"/>
                <w:sz w:val="15"/>
              </w:rPr>
              <w:t>D6 BOCSAR criminal incidents by suburb</w:t>
            </w:r>
          </w:p>
        </w:tc>
        <w:tc>
          <w:tcPr>
            <w:tcW w:type="dxa" w:w="1660"/>
            <w:vAlign w:val="center"/>
            <w:shd w:fill="F8FAFC"/>
            <w:tcMar>
              <w:top w:w="80" w:type="dxa"/>
              <w:start w:w="120" w:type="dxa"/>
              <w:bottom w:w="80" w:type="dxa"/>
              <w:end w:w="120" w:type="dxa"/>
            </w:tcMar>
          </w:tcPr>
          <w:p>
            <w:pPr>
              <w:spacing w:after="0" w:line="240" w:lineRule="auto"/>
            </w:pPr>
            <w:r>
              <w:rPr>
                <w:rFonts w:ascii="Calibri" w:hAnsi="Calibri"/>
                <w:color w:val="1F2937"/>
                <w:sz w:val="15"/>
              </w:rPr>
              <w:t>Monthly recorded incidents by offence</w:t>
            </w:r>
          </w:p>
        </w:tc>
        <w:tc>
          <w:tcPr>
            <w:tcW w:type="dxa" w:w="1240"/>
            <w:vAlign w:val="center"/>
            <w:shd w:fill="F8FAFC"/>
            <w:tcMar>
              <w:top w:w="80" w:type="dxa"/>
              <w:start w:w="120" w:type="dxa"/>
              <w:bottom w:w="80" w:type="dxa"/>
              <w:end w:w="120" w:type="dxa"/>
            </w:tcMar>
          </w:tcPr>
          <w:p>
            <w:pPr>
              <w:spacing w:after="0" w:line="240" w:lineRule="auto"/>
            </w:pPr>
            <w:r>
              <w:rPr>
                <w:rFonts w:ascii="Calibri" w:hAnsi="Calibri"/>
                <w:color w:val="1F2937"/>
                <w:sz w:val="15"/>
              </w:rPr>
              <w:t>ZIP/XLSX bulk download</w:t>
            </w:r>
          </w:p>
        </w:tc>
        <w:tc>
          <w:tcPr>
            <w:tcW w:type="dxa" w:w="1150"/>
            <w:vAlign w:val="center"/>
            <w:shd w:fill="F8FAFC"/>
            <w:tcMar>
              <w:top w:w="80" w:type="dxa"/>
              <w:start w:w="120" w:type="dxa"/>
              <w:bottom w:w="80" w:type="dxa"/>
              <w:end w:w="120" w:type="dxa"/>
            </w:tcMar>
          </w:tcPr>
          <w:p>
            <w:pPr>
              <w:spacing w:after="0" w:line="240" w:lineRule="auto"/>
            </w:pPr>
            <w:r>
              <w:rPr>
                <w:rFonts w:ascii="Calibri" w:hAnsi="Calibri"/>
                <w:color w:val="1F2937"/>
                <w:sz w:val="15"/>
              </w:rPr>
              <w:t>Publisher release; suburb series currently through 2025</w:t>
            </w:r>
          </w:p>
        </w:tc>
        <w:tc>
          <w:tcPr>
            <w:tcW w:type="dxa" w:w="1890"/>
            <w:vAlign w:val="center"/>
            <w:shd w:fill="F8FAFC"/>
            <w:tcMar>
              <w:top w:w="80" w:type="dxa"/>
              <w:start w:w="120" w:type="dxa"/>
              <w:bottom w:w="80" w:type="dxa"/>
              <w:end w:w="120" w:type="dxa"/>
            </w:tcMar>
          </w:tcPr>
          <w:p>
            <w:pPr>
              <w:spacing w:after="0" w:line="240" w:lineRule="auto"/>
            </w:pPr>
            <w:r>
              <w:rPr>
                <w:rFonts w:ascii="Calibri" w:hAnsi="Calibri"/>
                <w:color w:val="1F2937"/>
                <w:sz w:val="15"/>
              </w:rPr>
              <w:t>Suburb, offence, month, count</w:t>
            </w:r>
          </w:p>
        </w:tc>
        <w:tc>
          <w:tcPr>
            <w:tcW w:type="dxa" w:w="1920"/>
            <w:vAlign w:val="center"/>
            <w:shd w:fill="F8FAFC"/>
            <w:tcMar>
              <w:top w:w="80" w:type="dxa"/>
              <w:start w:w="120" w:type="dxa"/>
              <w:bottom w:w="80" w:type="dxa"/>
              <w:end w:w="120" w:type="dxa"/>
            </w:tcMar>
          </w:tcPr>
          <w:p>
            <w:pPr>
              <w:spacing w:after="0" w:line="240" w:lineRule="auto"/>
            </w:pPr>
            <w:r>
              <w:rPr>
                <w:rFonts w:ascii="Calibri" w:hAnsi="Calibri"/>
                <w:color w:val="1F2937"/>
                <w:sz w:val="15"/>
              </w:rPr>
              <w:t>Recorded police incidents; reporting and classification effects; name crosswalk required.</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5"/>
              </w:rPr>
              <w:t>D7 TfNSW complete GTFS</w:t>
            </w:r>
          </w:p>
        </w:tc>
        <w:tc>
          <w:tcPr>
            <w:tcW w:type="dxa" w:w="1660"/>
            <w:vAlign w:val="center"/>
            <w:tcMar>
              <w:top w:w="80" w:type="dxa"/>
              <w:start w:w="120" w:type="dxa"/>
              <w:bottom w:w="80" w:type="dxa"/>
              <w:end w:w="120" w:type="dxa"/>
            </w:tcMar>
          </w:tcPr>
          <w:p>
            <w:pPr>
              <w:spacing w:after="0" w:line="240" w:lineRule="auto"/>
            </w:pPr>
            <w:r>
              <w:rPr>
                <w:rFonts w:ascii="Calibri" w:hAnsi="Calibri"/>
                <w:color w:val="1F2937"/>
                <w:sz w:val="15"/>
              </w:rPr>
              <w:t>Stops, routes and scheduled service frequency</w:t>
            </w:r>
          </w:p>
        </w:tc>
        <w:tc>
          <w:tcPr>
            <w:tcW w:type="dxa" w:w="1240"/>
            <w:vAlign w:val="center"/>
            <w:tcMar>
              <w:top w:w="80" w:type="dxa"/>
              <w:start w:w="120" w:type="dxa"/>
              <w:bottom w:w="80" w:type="dxa"/>
              <w:end w:w="120" w:type="dxa"/>
            </w:tcMar>
          </w:tcPr>
          <w:p>
            <w:pPr>
              <w:spacing w:after="0" w:line="240" w:lineRule="auto"/>
            </w:pPr>
            <w:r>
              <w:rPr>
                <w:rFonts w:ascii="Calibri" w:hAnsi="Calibri"/>
                <w:color w:val="1F2937"/>
                <w:sz w:val="15"/>
              </w:rPr>
              <w:t>Authenticated API / ZIP</w:t>
            </w:r>
          </w:p>
        </w:tc>
        <w:tc>
          <w:tcPr>
            <w:tcW w:type="dxa" w:w="1150"/>
            <w:vAlign w:val="center"/>
            <w:tcMar>
              <w:top w:w="80" w:type="dxa"/>
              <w:start w:w="120" w:type="dxa"/>
              <w:bottom w:w="80" w:type="dxa"/>
              <w:end w:w="120" w:type="dxa"/>
            </w:tcMar>
          </w:tcPr>
          <w:p>
            <w:pPr>
              <w:spacing w:after="0" w:line="240" w:lineRule="auto"/>
            </w:pPr>
            <w:r>
              <w:rPr>
                <w:rFonts w:ascii="Calibri" w:hAnsi="Calibri"/>
                <w:color w:val="1F2937"/>
                <w:sz w:val="15"/>
              </w:rPr>
              <w:t>Feed updates</w:t>
            </w:r>
          </w:p>
        </w:tc>
        <w:tc>
          <w:tcPr>
            <w:tcW w:type="dxa" w:w="1890"/>
            <w:vAlign w:val="center"/>
            <w:tcMar>
              <w:top w:w="80" w:type="dxa"/>
              <w:start w:w="120" w:type="dxa"/>
              <w:bottom w:w="80" w:type="dxa"/>
              <w:end w:w="120" w:type="dxa"/>
            </w:tcMar>
          </w:tcPr>
          <w:p>
            <w:pPr>
              <w:spacing w:after="0" w:line="240" w:lineRule="auto"/>
            </w:pPr>
            <w:r>
              <w:rPr>
                <w:rFonts w:ascii="Calibri" w:hAnsi="Calibri"/>
                <w:color w:val="1F2937"/>
                <w:sz w:val="15"/>
              </w:rPr>
              <w:t>stops, routes, trips, stop_times, calendar</w:t>
            </w:r>
          </w:p>
        </w:tc>
        <w:tc>
          <w:tcPr>
            <w:tcW w:type="dxa" w:w="1920"/>
            <w:vAlign w:val="center"/>
            <w:tcMar>
              <w:top w:w="80" w:type="dxa"/>
              <w:start w:w="120" w:type="dxa"/>
              <w:bottom w:w="80" w:type="dxa"/>
              <w:end w:w="120" w:type="dxa"/>
            </w:tcMar>
          </w:tcPr>
          <w:p>
            <w:pPr>
              <w:spacing w:after="0" w:line="240" w:lineRule="auto"/>
            </w:pPr>
            <w:r>
              <w:rPr>
                <w:rFonts w:ascii="Calibri" w:hAnsi="Calibri"/>
                <w:color w:val="1F2937"/>
                <w:sz w:val="15"/>
              </w:rPr>
              <w:t>Static schedule is not actual reliability; access registration may be required.</w:t>
            </w:r>
          </w:p>
        </w:tc>
      </w:tr>
      <w:tr>
        <w:trPr>
          <w:cantSplit/>
        </w:trPr>
        <w:tc>
          <w:tcPr>
            <w:tcW w:type="dxa" w:w="1500"/>
            <w:vAlign w:val="center"/>
            <w:shd w:fill="F8FAFC"/>
            <w:tcMar>
              <w:top w:w="80" w:type="dxa"/>
              <w:start w:w="120" w:type="dxa"/>
              <w:bottom w:w="80" w:type="dxa"/>
              <w:end w:w="120" w:type="dxa"/>
            </w:tcMar>
          </w:tcPr>
          <w:p>
            <w:pPr>
              <w:spacing w:after="0" w:line="240" w:lineRule="auto"/>
            </w:pPr>
            <w:r>
              <w:rPr>
                <w:rFonts w:ascii="Calibri" w:hAnsi="Calibri"/>
                <w:color w:val="1F2937"/>
                <w:sz w:val="15"/>
              </w:rPr>
              <w:t>D8 NSW public schools master</w:t>
            </w:r>
          </w:p>
        </w:tc>
        <w:tc>
          <w:tcPr>
            <w:tcW w:type="dxa" w:w="1660"/>
            <w:vAlign w:val="center"/>
            <w:shd w:fill="F8FAFC"/>
            <w:tcMar>
              <w:top w:w="80" w:type="dxa"/>
              <w:start w:w="120" w:type="dxa"/>
              <w:bottom w:w="80" w:type="dxa"/>
              <w:end w:w="120" w:type="dxa"/>
            </w:tcMar>
          </w:tcPr>
          <w:p>
            <w:pPr>
              <w:spacing w:after="0" w:line="240" w:lineRule="auto"/>
            </w:pPr>
            <w:r>
              <w:rPr>
                <w:rFonts w:ascii="Calibri" w:hAnsi="Calibri"/>
                <w:color w:val="1F2937"/>
                <w:sz w:val="15"/>
              </w:rPr>
              <w:t>Government school location and type</w:t>
            </w:r>
          </w:p>
        </w:tc>
        <w:tc>
          <w:tcPr>
            <w:tcW w:type="dxa" w:w="1240"/>
            <w:vAlign w:val="center"/>
            <w:shd w:fill="F8FAFC"/>
            <w:tcMar>
              <w:top w:w="80" w:type="dxa"/>
              <w:start w:w="120" w:type="dxa"/>
              <w:bottom w:w="80" w:type="dxa"/>
              <w:end w:w="120" w:type="dxa"/>
            </w:tcMar>
          </w:tcPr>
          <w:p>
            <w:pPr>
              <w:spacing w:after="0" w:line="240" w:lineRule="auto"/>
            </w:pPr>
            <w:r>
              <w:rPr>
                <w:rFonts w:ascii="Calibri" w:hAnsi="Calibri"/>
                <w:color w:val="1F2937"/>
                <w:sz w:val="15"/>
              </w:rPr>
              <w:t>CSV / CKAN Data API</w:t>
            </w:r>
          </w:p>
        </w:tc>
        <w:tc>
          <w:tcPr>
            <w:tcW w:type="dxa" w:w="1150"/>
            <w:vAlign w:val="center"/>
            <w:shd w:fill="F8FAFC"/>
            <w:tcMar>
              <w:top w:w="80" w:type="dxa"/>
              <w:start w:w="120" w:type="dxa"/>
              <w:bottom w:w="80" w:type="dxa"/>
              <w:end w:w="120" w:type="dxa"/>
            </w:tcMar>
          </w:tcPr>
          <w:p>
            <w:pPr>
              <w:spacing w:after="0" w:line="240" w:lineRule="auto"/>
            </w:pPr>
            <w:r>
              <w:rPr>
                <w:rFonts w:ascii="Calibri" w:hAnsi="Calibri"/>
                <w:color w:val="1F2937"/>
                <w:sz w:val="15"/>
              </w:rPr>
              <w:t>Monthly metadata</w:t>
            </w:r>
          </w:p>
        </w:tc>
        <w:tc>
          <w:tcPr>
            <w:tcW w:type="dxa" w:w="1890"/>
            <w:vAlign w:val="center"/>
            <w:shd w:fill="F8FAFC"/>
            <w:tcMar>
              <w:top w:w="80" w:type="dxa"/>
              <w:start w:w="120" w:type="dxa"/>
              <w:bottom w:w="80" w:type="dxa"/>
              <w:end w:w="120" w:type="dxa"/>
            </w:tcMar>
          </w:tcPr>
          <w:p>
            <w:pPr>
              <w:spacing w:after="0" w:line="240" w:lineRule="auto"/>
            </w:pPr>
            <w:r>
              <w:rPr>
                <w:rFonts w:ascii="Calibri" w:hAnsi="Calibri"/>
                <w:color w:val="1F2937"/>
                <w:sz w:val="15"/>
              </w:rPr>
              <w:t>school code/name/type, lat/lon, enrolment</w:t>
            </w:r>
          </w:p>
        </w:tc>
        <w:tc>
          <w:tcPr>
            <w:tcW w:type="dxa" w:w="1920"/>
            <w:vAlign w:val="center"/>
            <w:shd w:fill="F8FAFC"/>
            <w:tcMar>
              <w:top w:w="80" w:type="dxa"/>
              <w:start w:w="120" w:type="dxa"/>
              <w:bottom w:w="80" w:type="dxa"/>
              <w:end w:w="120" w:type="dxa"/>
            </w:tcMar>
          </w:tcPr>
          <w:p>
            <w:pPr>
              <w:spacing w:after="0" w:line="240" w:lineRule="auto"/>
            </w:pPr>
            <w:r>
              <w:rPr>
                <w:rFonts w:ascii="Calibri" w:hAnsi="Calibri"/>
                <w:color w:val="1F2937"/>
                <w:sz w:val="15"/>
              </w:rPr>
              <w:t>Access is not school quality; suppressed fields and source notes preserved.</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5"/>
              </w:rPr>
              <w:t>D9 NSW Points of Interest</w:t>
            </w:r>
          </w:p>
        </w:tc>
        <w:tc>
          <w:tcPr>
            <w:tcW w:type="dxa" w:w="1660"/>
            <w:vAlign w:val="center"/>
            <w:tcMar>
              <w:top w:w="80" w:type="dxa"/>
              <w:start w:w="120" w:type="dxa"/>
              <w:bottom w:w="80" w:type="dxa"/>
              <w:end w:w="120" w:type="dxa"/>
            </w:tcMar>
          </w:tcPr>
          <w:p>
            <w:pPr>
              <w:spacing w:after="0" w:line="240" w:lineRule="auto"/>
            </w:pPr>
            <w:r>
              <w:rPr>
                <w:rFonts w:ascii="Calibri" w:hAnsi="Calibri"/>
                <w:color w:val="1F2937"/>
                <w:sz w:val="15"/>
              </w:rPr>
              <w:t>Community, education, recreation and transport destinations</w:t>
            </w:r>
          </w:p>
        </w:tc>
        <w:tc>
          <w:tcPr>
            <w:tcW w:type="dxa" w:w="1240"/>
            <w:vAlign w:val="center"/>
            <w:tcMar>
              <w:top w:w="80" w:type="dxa"/>
              <w:start w:w="120" w:type="dxa"/>
              <w:bottom w:w="80" w:type="dxa"/>
              <w:end w:w="120" w:type="dxa"/>
            </w:tcMar>
          </w:tcPr>
          <w:p>
            <w:pPr>
              <w:spacing w:after="0" w:line="240" w:lineRule="auto"/>
            </w:pPr>
            <w:r>
              <w:rPr>
                <w:rFonts w:ascii="Calibri" w:hAnsi="Calibri"/>
                <w:color w:val="1F2937"/>
                <w:sz w:val="15"/>
              </w:rPr>
              <w:t>ArcGIS REST / WMS</w:t>
            </w:r>
          </w:p>
        </w:tc>
        <w:tc>
          <w:tcPr>
            <w:tcW w:type="dxa" w:w="1150"/>
            <w:vAlign w:val="center"/>
            <w:tcMar>
              <w:top w:w="80" w:type="dxa"/>
              <w:start w:w="120" w:type="dxa"/>
              <w:bottom w:w="80" w:type="dxa"/>
              <w:end w:w="120" w:type="dxa"/>
            </w:tcMar>
          </w:tcPr>
          <w:p>
            <w:pPr>
              <w:spacing w:after="0" w:line="240" w:lineRule="auto"/>
            </w:pPr>
            <w:r>
              <w:rPr>
                <w:rFonts w:ascii="Calibri" w:hAnsi="Calibri"/>
                <w:color w:val="1F2937"/>
                <w:sz w:val="15"/>
              </w:rPr>
              <w:t>As needed</w:t>
            </w:r>
          </w:p>
        </w:tc>
        <w:tc>
          <w:tcPr>
            <w:tcW w:type="dxa" w:w="1890"/>
            <w:vAlign w:val="center"/>
            <w:tcMar>
              <w:top w:w="80" w:type="dxa"/>
              <w:start w:w="120" w:type="dxa"/>
              <w:bottom w:w="80" w:type="dxa"/>
              <w:end w:w="120" w:type="dxa"/>
            </w:tcMar>
          </w:tcPr>
          <w:p>
            <w:pPr>
              <w:spacing w:after="0" w:line="240" w:lineRule="auto"/>
            </w:pPr>
            <w:r>
              <w:rPr>
                <w:rFonts w:ascii="Calibri" w:hAnsi="Calibri"/>
                <w:color w:val="1F2937"/>
                <w:sz w:val="15"/>
              </w:rPr>
              <w:t>feature ID, name, category, coordinates</w:t>
            </w:r>
          </w:p>
        </w:tc>
        <w:tc>
          <w:tcPr>
            <w:tcW w:type="dxa" w:w="1920"/>
            <w:vAlign w:val="center"/>
            <w:tcMar>
              <w:top w:w="80" w:type="dxa"/>
              <w:start w:w="120" w:type="dxa"/>
              <w:bottom w:w="80" w:type="dxa"/>
              <w:end w:w="120" w:type="dxa"/>
            </w:tcMar>
          </w:tcPr>
          <w:p>
            <w:pPr>
              <w:spacing w:after="0" w:line="240" w:lineRule="auto"/>
            </w:pPr>
            <w:r>
              <w:rPr>
                <w:rFonts w:ascii="Calibri" w:hAnsi="Calibri"/>
                <w:color w:val="1F2937"/>
                <w:sz w:val="15"/>
              </w:rPr>
              <w:t>Thinned/derived attributes; midpoint may represent line/polygon features.</w:t>
            </w:r>
          </w:p>
        </w:tc>
      </w:tr>
      <w:tr>
        <w:trPr>
          <w:cantSplit/>
        </w:trPr>
        <w:tc>
          <w:tcPr>
            <w:tcW w:type="dxa" w:w="1500"/>
            <w:vAlign w:val="center"/>
            <w:shd w:fill="F8FAFC"/>
            <w:tcMar>
              <w:top w:w="80" w:type="dxa"/>
              <w:start w:w="120" w:type="dxa"/>
              <w:bottom w:w="80" w:type="dxa"/>
              <w:end w:w="120" w:type="dxa"/>
            </w:tcMar>
          </w:tcPr>
          <w:p>
            <w:pPr>
              <w:spacing w:after="0" w:line="240" w:lineRule="auto"/>
            </w:pPr>
            <w:r>
              <w:rPr>
                <w:rFonts w:ascii="Calibri" w:hAnsi="Calibri"/>
                <w:color w:val="1F2937"/>
                <w:sz w:val="15"/>
              </w:rPr>
              <w:t>D10 NSW Hospitals</w:t>
            </w:r>
          </w:p>
        </w:tc>
        <w:tc>
          <w:tcPr>
            <w:tcW w:type="dxa" w:w="1660"/>
            <w:vAlign w:val="center"/>
            <w:shd w:fill="F8FAFC"/>
            <w:tcMar>
              <w:top w:w="80" w:type="dxa"/>
              <w:start w:w="120" w:type="dxa"/>
              <w:bottom w:w="80" w:type="dxa"/>
              <w:end w:w="120" w:type="dxa"/>
            </w:tcMar>
          </w:tcPr>
          <w:p>
            <w:pPr>
              <w:spacing w:after="0" w:line="240" w:lineRule="auto"/>
            </w:pPr>
            <w:r>
              <w:rPr>
                <w:rFonts w:ascii="Calibri" w:hAnsi="Calibri"/>
                <w:color w:val="1F2937"/>
                <w:sz w:val="15"/>
              </w:rPr>
              <w:t>Hospital/service locations and contact context</w:t>
            </w:r>
          </w:p>
        </w:tc>
        <w:tc>
          <w:tcPr>
            <w:tcW w:type="dxa" w:w="1240"/>
            <w:vAlign w:val="center"/>
            <w:shd w:fill="F8FAFC"/>
            <w:tcMar>
              <w:top w:w="80" w:type="dxa"/>
              <w:start w:w="120" w:type="dxa"/>
              <w:bottom w:w="80" w:type="dxa"/>
              <w:end w:w="120" w:type="dxa"/>
            </w:tcMar>
          </w:tcPr>
          <w:p>
            <w:pPr>
              <w:spacing w:after="0" w:line="240" w:lineRule="auto"/>
            </w:pPr>
            <w:r>
              <w:rPr>
                <w:rFonts w:ascii="Calibri" w:hAnsi="Calibri"/>
                <w:color w:val="1F2937"/>
                <w:sz w:val="15"/>
              </w:rPr>
              <w:t>CSV / CKAN Data API</w:t>
            </w:r>
          </w:p>
        </w:tc>
        <w:tc>
          <w:tcPr>
            <w:tcW w:type="dxa" w:w="1150"/>
            <w:vAlign w:val="center"/>
            <w:shd w:fill="F8FAFC"/>
            <w:tcMar>
              <w:top w:w="80" w:type="dxa"/>
              <w:start w:w="120" w:type="dxa"/>
              <w:bottom w:w="80" w:type="dxa"/>
              <w:end w:w="120" w:type="dxa"/>
            </w:tcMar>
          </w:tcPr>
          <w:p>
            <w:pPr>
              <w:spacing w:after="0" w:line="240" w:lineRule="auto"/>
            </w:pPr>
            <w:r>
              <w:rPr>
                <w:rFonts w:ascii="Calibri" w:hAnsi="Calibri"/>
                <w:color w:val="1F2937"/>
                <w:sz w:val="15"/>
              </w:rPr>
              <w:t>Irregular</w:t>
            </w:r>
          </w:p>
        </w:tc>
        <w:tc>
          <w:tcPr>
            <w:tcW w:type="dxa" w:w="1890"/>
            <w:vAlign w:val="center"/>
            <w:shd w:fill="F8FAFC"/>
            <w:tcMar>
              <w:top w:w="80" w:type="dxa"/>
              <w:start w:w="120" w:type="dxa"/>
              <w:bottom w:w="80" w:type="dxa"/>
              <w:end w:w="120" w:type="dxa"/>
            </w:tcMar>
          </w:tcPr>
          <w:p>
            <w:pPr>
              <w:spacing w:after="0" w:line="240" w:lineRule="auto"/>
            </w:pPr>
            <w:r>
              <w:rPr>
                <w:rFonts w:ascii="Calibri" w:hAnsi="Calibri"/>
                <w:color w:val="1F2937"/>
                <w:sz w:val="15"/>
              </w:rPr>
              <w:t>name, address, LHD, contact</w:t>
            </w:r>
          </w:p>
        </w:tc>
        <w:tc>
          <w:tcPr>
            <w:tcW w:type="dxa" w:w="1920"/>
            <w:vAlign w:val="center"/>
            <w:shd w:fill="F8FAFC"/>
            <w:tcMar>
              <w:top w:w="80" w:type="dxa"/>
              <w:start w:w="120" w:type="dxa"/>
              <w:bottom w:w="80" w:type="dxa"/>
              <w:end w:w="120" w:type="dxa"/>
            </w:tcMar>
          </w:tcPr>
          <w:p>
            <w:pPr>
              <w:spacing w:after="0" w:line="240" w:lineRule="auto"/>
            </w:pPr>
            <w:r>
              <w:rPr>
                <w:rFonts w:ascii="Calibri" w:hAnsi="Calibri"/>
                <w:color w:val="1F2937"/>
                <w:sz w:val="15"/>
              </w:rPr>
              <w:t>Licence is not specified on portal page; confirm reuse before ingestion.</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5"/>
              </w:rPr>
              <w:t>D11 AUO methodology</w:t>
            </w:r>
          </w:p>
        </w:tc>
        <w:tc>
          <w:tcPr>
            <w:tcW w:type="dxa" w:w="1660"/>
            <w:vAlign w:val="center"/>
            <w:tcMar>
              <w:top w:w="80" w:type="dxa"/>
              <w:start w:w="120" w:type="dxa"/>
              <w:bottom w:w="80" w:type="dxa"/>
              <w:end w:w="120" w:type="dxa"/>
            </w:tcMar>
          </w:tcPr>
          <w:p>
            <w:pPr>
              <w:spacing w:after="0" w:line="240" w:lineRule="auto"/>
            </w:pPr>
            <w:r>
              <w:rPr>
                <w:rFonts w:ascii="Calibri" w:hAnsi="Calibri"/>
                <w:color w:val="1F2937"/>
                <w:sz w:val="15"/>
              </w:rPr>
              <w:t>Liveability framework reference only</w:t>
            </w:r>
          </w:p>
        </w:tc>
        <w:tc>
          <w:tcPr>
            <w:tcW w:type="dxa" w:w="1240"/>
            <w:vAlign w:val="center"/>
            <w:tcMar>
              <w:top w:w="80" w:type="dxa"/>
              <w:start w:w="120" w:type="dxa"/>
              <w:bottom w:w="80" w:type="dxa"/>
              <w:end w:w="120" w:type="dxa"/>
            </w:tcMar>
          </w:tcPr>
          <w:p>
            <w:pPr>
              <w:spacing w:after="0" w:line="240" w:lineRule="auto"/>
            </w:pPr>
            <w:r>
              <w:rPr>
                <w:rFonts w:ascii="Calibri" w:hAnsi="Calibri"/>
                <w:color w:val="1F2937"/>
                <w:sz w:val="15"/>
              </w:rPr>
              <w:t>Public metadata pages</w:t>
            </w:r>
          </w:p>
        </w:tc>
        <w:tc>
          <w:tcPr>
            <w:tcW w:type="dxa" w:w="1150"/>
            <w:vAlign w:val="center"/>
            <w:tcMar>
              <w:top w:w="80" w:type="dxa"/>
              <w:start w:w="120" w:type="dxa"/>
              <w:bottom w:w="80" w:type="dxa"/>
              <w:end w:w="120" w:type="dxa"/>
            </w:tcMar>
          </w:tcPr>
          <w:p>
            <w:pPr>
              <w:spacing w:after="0" w:line="240" w:lineRule="auto"/>
            </w:pPr>
            <w:r>
              <w:rPr>
                <w:rFonts w:ascii="Calibri" w:hAnsi="Calibri"/>
                <w:color w:val="1F2937"/>
                <w:sz w:val="15"/>
              </w:rPr>
              <w:t>Research releases</w:t>
            </w:r>
          </w:p>
        </w:tc>
        <w:tc>
          <w:tcPr>
            <w:tcW w:type="dxa" w:w="1890"/>
            <w:vAlign w:val="center"/>
            <w:tcMar>
              <w:top w:w="80" w:type="dxa"/>
              <w:start w:w="120" w:type="dxa"/>
              <w:bottom w:w="80" w:type="dxa"/>
              <w:end w:w="120" w:type="dxa"/>
            </w:tcMar>
          </w:tcPr>
          <w:p>
            <w:pPr>
              <w:spacing w:after="0" w:line="240" w:lineRule="auto"/>
            </w:pPr>
            <w:r>
              <w:rPr>
                <w:rFonts w:ascii="Calibri" w:hAnsi="Calibri"/>
                <w:color w:val="1F2937"/>
                <w:sz w:val="15"/>
              </w:rPr>
              <w:t>Domain definitions and methods</w:t>
            </w:r>
          </w:p>
        </w:tc>
        <w:tc>
          <w:tcPr>
            <w:tcW w:type="dxa" w:w="1920"/>
            <w:vAlign w:val="center"/>
            <w:tcMar>
              <w:top w:w="80" w:type="dxa"/>
              <w:start w:w="120" w:type="dxa"/>
              <w:bottom w:w="80" w:type="dxa"/>
              <w:end w:w="120" w:type="dxa"/>
            </w:tcMar>
          </w:tcPr>
          <w:p>
            <w:pPr>
              <w:spacing w:after="0" w:line="240" w:lineRule="auto"/>
            </w:pPr>
            <w:r>
              <w:rPr>
                <w:rFonts w:ascii="Calibri" w:hAnsi="Calibri"/>
                <w:color w:val="1F2937"/>
                <w:sz w:val="15"/>
              </w:rPr>
              <w:t>Do not ingest paid suburb indicators or claim methodological equivalence.</w:t>
            </w:r>
          </w:p>
        </w:tc>
      </w:tr>
    </w:tbl>
    <w:p>
      <w:pPr>
        <w:spacing w:after="40"/>
      </w:pPr>
    </w:p>
    <w:p>
      <w:pPr>
        <w:spacing w:before="80" w:after="120"/>
      </w:pPr>
      <w:r>
        <w:rPr>
          <w:rFonts w:ascii="Calibri" w:hAnsi="Calibri"/>
          <w:b/>
          <w:color w:val="667085"/>
          <w:sz w:val="18"/>
        </w:rPr>
        <w:t xml:space="preserve">Source URLs: </w:t>
      </w:r>
      <w:r>
        <w:rPr>
          <w:rFonts w:ascii="Calibri" w:hAnsi="Calibri"/>
          <w:color w:val="667085"/>
          <w:sz w:val="18"/>
        </w:rPr>
        <w:t>See Appendix B for clickable publisher pages and repository references.</w:t>
      </w:r>
    </w:p>
    <w:p>
      <w:pPr>
        <w:pStyle w:val="Heading2"/>
      </w:pPr>
      <w:r>
        <w:t>Dataset priority and release slicing</w:t>
      </w:r>
    </w:p>
    <w:tbl>
      <w:tblPr>
        <w:tblStyle w:val="TableGrid"/>
        <w:tblW w:type="dxa" w:w="9360"/>
        <w:jc w:val="left"/>
        <w:tblLayout w:type="fixed"/>
        <w:tblLook w:firstColumn="1" w:firstRow="1" w:lastColumn="0" w:lastRow="0" w:noHBand="0" w:noVBand="1" w:val="04A0"/>
        <w:tblInd w:w="120" w:type="dxa"/>
      </w:tblPr>
      <w:tblGrid>
        <w:gridCol w:w="1600"/>
        <w:gridCol w:w="3000"/>
        <w:gridCol w:w="4760"/>
      </w:tblGrid>
      <w:tr>
        <w:trPr>
          <w:tblHeader w:val="true"/>
          <w:cantSplit/>
        </w:trPr>
        <w:tc>
          <w:tcPr>
            <w:tcW w:type="dxa" w:w="16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Priority</w:t>
            </w:r>
          </w:p>
        </w:tc>
        <w:tc>
          <w:tcPr>
            <w:tcW w:type="dxa" w:w="30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Dataset set</w:t>
            </w:r>
          </w:p>
        </w:tc>
        <w:tc>
          <w:tcPr>
            <w:tcW w:type="dxa" w:w="47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Release value</w:t>
            </w:r>
          </w:p>
        </w:tc>
      </w:tr>
      <w:tr>
        <w:trPr>
          <w:cantSplit/>
        </w:trPr>
        <w:tc>
          <w:tcPr>
            <w:tcW w:type="dxa" w:w="1600"/>
            <w:vAlign w:val="center"/>
            <w:tcMar>
              <w:top w:w="80" w:type="dxa"/>
              <w:start w:w="120" w:type="dxa"/>
              <w:bottom w:w="80" w:type="dxa"/>
              <w:end w:w="120" w:type="dxa"/>
            </w:tcMar>
          </w:tcPr>
          <w:p>
            <w:pPr>
              <w:spacing w:after="0" w:line="240" w:lineRule="auto"/>
            </w:pPr>
            <w:r>
              <w:rPr>
                <w:rFonts w:ascii="Calibri" w:hAnsi="Calibri"/>
                <w:color w:val="1F2937"/>
                <w:sz w:val="18"/>
              </w:rPr>
              <w:t>MVP required</w:t>
            </w:r>
          </w:p>
        </w:tc>
        <w:tc>
          <w:tcPr>
            <w:tcW w:type="dxa" w:w="3000"/>
            <w:vAlign w:val="center"/>
            <w:tcMar>
              <w:top w:w="80" w:type="dxa"/>
              <w:start w:w="120" w:type="dxa"/>
              <w:bottom w:w="80" w:type="dxa"/>
              <w:end w:w="120" w:type="dxa"/>
            </w:tcMar>
          </w:tcPr>
          <w:p>
            <w:pPr>
              <w:spacing w:after="0" w:line="240" w:lineRule="auto"/>
            </w:pPr>
            <w:r>
              <w:rPr>
                <w:rFonts w:ascii="Calibri" w:hAnsi="Calibri"/>
                <w:color w:val="1F2937"/>
                <w:sz w:val="18"/>
              </w:rPr>
              <w:t>D1-D6 plus D8</w:t>
            </w:r>
          </w:p>
        </w:tc>
        <w:tc>
          <w:tcPr>
            <w:tcW w:type="dxa" w:w="4760"/>
            <w:vAlign w:val="center"/>
            <w:tcMar>
              <w:top w:w="80" w:type="dxa"/>
              <w:start w:w="120" w:type="dxa"/>
              <w:bottom w:w="80" w:type="dxa"/>
              <w:end w:w="120" w:type="dxa"/>
            </w:tcMar>
          </w:tcPr>
          <w:p>
            <w:pPr>
              <w:spacing w:after="0" w:line="240" w:lineRule="auto"/>
            </w:pPr>
            <w:r>
              <w:rPr>
                <w:rFonts w:ascii="Calibri" w:hAnsi="Calibri"/>
                <w:color w:val="1F2937"/>
                <w:sz w:val="18"/>
              </w:rPr>
              <w:t>Identity, overview, Census/SEIFA context, crime trends, government school access, ten-suburb deterministic fixture</w:t>
            </w:r>
          </w:p>
        </w:tc>
      </w:tr>
      <w:tr>
        <w:trPr>
          <w:cantSplit/>
        </w:trPr>
        <w:tc>
          <w:tcPr>
            <w:tcW w:type="dxa" w:w="1600"/>
            <w:vAlign w:val="center"/>
            <w:shd w:fill="F8FAFC"/>
            <w:tcMar>
              <w:top w:w="80" w:type="dxa"/>
              <w:start w:w="120" w:type="dxa"/>
              <w:bottom w:w="80" w:type="dxa"/>
              <w:end w:w="120" w:type="dxa"/>
            </w:tcMar>
          </w:tcPr>
          <w:p>
            <w:pPr>
              <w:spacing w:after="0" w:line="240" w:lineRule="auto"/>
            </w:pPr>
            <w:r>
              <w:rPr>
                <w:rFonts w:ascii="Calibri" w:hAnsi="Calibri"/>
                <w:color w:val="1F2937"/>
                <w:sz w:val="18"/>
              </w:rPr>
              <w:t>MVP+</w:t>
            </w:r>
          </w:p>
        </w:tc>
        <w:tc>
          <w:tcPr>
            <w:tcW w:type="dxa" w:w="3000"/>
            <w:vAlign w:val="center"/>
            <w:shd w:fill="F8FAFC"/>
            <w:tcMar>
              <w:top w:w="80" w:type="dxa"/>
              <w:start w:w="120" w:type="dxa"/>
              <w:bottom w:w="80" w:type="dxa"/>
              <w:end w:w="120" w:type="dxa"/>
            </w:tcMar>
          </w:tcPr>
          <w:p>
            <w:pPr>
              <w:spacing w:after="0" w:line="240" w:lineRule="auto"/>
            </w:pPr>
            <w:r>
              <w:rPr>
                <w:rFonts w:ascii="Calibri" w:hAnsi="Calibri"/>
                <w:color w:val="1F2937"/>
                <w:sz w:val="18"/>
              </w:rPr>
              <w:t>D7 and D9</w:t>
            </w:r>
          </w:p>
        </w:tc>
        <w:tc>
          <w:tcPr>
            <w:tcW w:type="dxa" w:w="4760"/>
            <w:vAlign w:val="center"/>
            <w:shd w:fill="F8FAFC"/>
            <w:tcMar>
              <w:top w:w="80" w:type="dxa"/>
              <w:start w:w="120" w:type="dxa"/>
              <w:bottom w:w="80" w:type="dxa"/>
              <w:end w:w="120" w:type="dxa"/>
            </w:tcMar>
          </w:tcPr>
          <w:p>
            <w:pPr>
              <w:spacing w:after="0" w:line="240" w:lineRule="auto"/>
            </w:pPr>
            <w:r>
              <w:rPr>
                <w:rFonts w:ascii="Calibri" w:hAnsi="Calibri"/>
                <w:color w:val="1F2937"/>
                <w:sz w:val="18"/>
              </w:rPr>
              <w:t>Transport frequency and broader community/recreation amenity map</w:t>
            </w:r>
          </w:p>
        </w:tc>
      </w:tr>
      <w:tr>
        <w:trPr>
          <w:cantSplit/>
        </w:trPr>
        <w:tc>
          <w:tcPr>
            <w:tcW w:type="dxa" w:w="1600"/>
            <w:vAlign w:val="center"/>
            <w:tcMar>
              <w:top w:w="80" w:type="dxa"/>
              <w:start w:w="120" w:type="dxa"/>
              <w:bottom w:w="80" w:type="dxa"/>
              <w:end w:w="120" w:type="dxa"/>
            </w:tcMar>
          </w:tcPr>
          <w:p>
            <w:pPr>
              <w:spacing w:after="0" w:line="240" w:lineRule="auto"/>
            </w:pPr>
            <w:r>
              <w:rPr>
                <w:rFonts w:ascii="Calibri" w:hAnsi="Calibri"/>
                <w:color w:val="1F2937"/>
                <w:sz w:val="18"/>
              </w:rPr>
              <w:t>Optional after licence review</w:t>
            </w:r>
          </w:p>
        </w:tc>
        <w:tc>
          <w:tcPr>
            <w:tcW w:type="dxa" w:w="3000"/>
            <w:vAlign w:val="center"/>
            <w:tcMar>
              <w:top w:w="80" w:type="dxa"/>
              <w:start w:w="120" w:type="dxa"/>
              <w:bottom w:w="80" w:type="dxa"/>
              <w:end w:w="120" w:type="dxa"/>
            </w:tcMar>
          </w:tcPr>
          <w:p>
            <w:pPr>
              <w:spacing w:after="0" w:line="240" w:lineRule="auto"/>
            </w:pPr>
            <w:r>
              <w:rPr>
                <w:rFonts w:ascii="Calibri" w:hAnsi="Calibri"/>
                <w:color w:val="1F2937"/>
                <w:sz w:val="18"/>
              </w:rPr>
              <w:t>D10</w:t>
            </w:r>
          </w:p>
        </w:tc>
        <w:tc>
          <w:tcPr>
            <w:tcW w:type="dxa" w:w="4760"/>
            <w:vAlign w:val="center"/>
            <w:tcMar>
              <w:top w:w="80" w:type="dxa"/>
              <w:start w:w="120" w:type="dxa"/>
              <w:bottom w:w="80" w:type="dxa"/>
              <w:end w:w="120" w:type="dxa"/>
            </w:tcMar>
          </w:tcPr>
          <w:p>
            <w:pPr>
              <w:spacing w:after="0" w:line="240" w:lineRule="auto"/>
            </w:pPr>
            <w:r>
              <w:rPr>
                <w:rFonts w:ascii="Calibri" w:hAnsi="Calibri"/>
                <w:color w:val="1F2937"/>
                <w:sz w:val="18"/>
              </w:rPr>
              <w:t>Health service access; use only after reuse terms are confirmed</w:t>
            </w:r>
          </w:p>
        </w:tc>
      </w:tr>
      <w:tr>
        <w:trPr>
          <w:cantSplit/>
        </w:trPr>
        <w:tc>
          <w:tcPr>
            <w:tcW w:type="dxa" w:w="1600"/>
            <w:vAlign w:val="center"/>
            <w:shd w:fill="F8FAFC"/>
            <w:tcMar>
              <w:top w:w="80" w:type="dxa"/>
              <w:start w:w="120" w:type="dxa"/>
              <w:bottom w:w="80" w:type="dxa"/>
              <w:end w:w="120" w:type="dxa"/>
            </w:tcMar>
          </w:tcPr>
          <w:p>
            <w:pPr>
              <w:spacing w:after="0" w:line="240" w:lineRule="auto"/>
            </w:pPr>
            <w:r>
              <w:rPr>
                <w:rFonts w:ascii="Calibri" w:hAnsi="Calibri"/>
                <w:color w:val="1F2937"/>
                <w:sz w:val="18"/>
              </w:rPr>
              <w:t>Method reference</w:t>
            </w:r>
          </w:p>
        </w:tc>
        <w:tc>
          <w:tcPr>
            <w:tcW w:type="dxa" w:w="3000"/>
            <w:vAlign w:val="center"/>
            <w:shd w:fill="F8FAFC"/>
            <w:tcMar>
              <w:top w:w="80" w:type="dxa"/>
              <w:start w:w="120" w:type="dxa"/>
              <w:bottom w:w="80" w:type="dxa"/>
              <w:end w:w="120" w:type="dxa"/>
            </w:tcMar>
          </w:tcPr>
          <w:p>
            <w:pPr>
              <w:spacing w:after="0" w:line="240" w:lineRule="auto"/>
            </w:pPr>
            <w:r>
              <w:rPr>
                <w:rFonts w:ascii="Calibri" w:hAnsi="Calibri"/>
                <w:color w:val="1F2937"/>
                <w:sz w:val="18"/>
              </w:rPr>
              <w:t>D11</w:t>
            </w:r>
          </w:p>
        </w:tc>
        <w:tc>
          <w:tcPr>
            <w:tcW w:type="dxa" w:w="4760"/>
            <w:vAlign w:val="center"/>
            <w:shd w:fill="F8FAFC"/>
            <w:tcMar>
              <w:top w:w="80" w:type="dxa"/>
              <w:start w:w="120" w:type="dxa"/>
              <w:bottom w:w="80" w:type="dxa"/>
              <w:end w:w="120" w:type="dxa"/>
            </w:tcMar>
          </w:tcPr>
          <w:p>
            <w:pPr>
              <w:spacing w:after="0" w:line="240" w:lineRule="auto"/>
            </w:pPr>
            <w:r>
              <w:rPr>
                <w:rFonts w:ascii="Calibri" w:hAnsi="Calibri"/>
                <w:color w:val="1F2937"/>
                <w:sz w:val="18"/>
              </w:rPr>
              <w:t>Guides dimensions and caveats; no paid/closed indicator copying</w:t>
            </w:r>
          </w:p>
        </w:tc>
      </w:tr>
    </w:tbl>
    <w:p>
      <w:pPr>
        <w:spacing w:after="40"/>
      </w:pPr>
    </w:p>
    <w:p>
      <w:pPr>
        <w:pStyle w:val="Heading2"/>
      </w:pPr>
      <w:r>
        <w:t>Geography reconciliation</w:t>
      </w:r>
    </w:p>
    <w:p>
      <w:pPr>
        <w:numPr>
          <w:ilvl w:val="0"/>
          <w:numId w:val="11"/>
        </w:numPr>
        <w:spacing w:after="160" w:line="280" w:lineRule="auto"/>
      </w:pPr>
      <w:r>
        <w:rPr>
          <w:rFonts w:ascii="Calibri" w:hAnsi="Calibri"/>
        </w:rPr>
        <w:t>Identity anchor: NSW gazetted suburb/locality code and geometry from D1.</w:t>
      </w:r>
    </w:p>
    <w:p>
      <w:pPr>
        <w:numPr>
          <w:ilvl w:val="0"/>
          <w:numId w:val="11"/>
        </w:numPr>
        <w:spacing w:after="160" w:line="280" w:lineRule="auto"/>
      </w:pPr>
      <w:r>
        <w:rPr>
          <w:rFonts w:ascii="Calibri" w:hAnsi="Calibri"/>
        </w:rPr>
        <w:t>Statistical mapping: map each NSW suburb to ABS SAL code using authoritative concordance where available, then spatial overlap/name review; persist method, version, confidence, and area share.</w:t>
      </w:r>
    </w:p>
    <w:p>
      <w:pPr>
        <w:numPr>
          <w:ilvl w:val="0"/>
          <w:numId w:val="11"/>
        </w:numPr>
        <w:spacing w:after="160" w:line="280" w:lineRule="auto"/>
      </w:pPr>
      <w:r>
        <w:rPr>
          <w:rFonts w:ascii="Calibri" w:hAnsi="Calibri"/>
        </w:rPr>
        <w:t>LGA membership: retain all intersecting LGAs in suburb_lga and mark a primary membership only by an approved deterministic rule such as greatest area share.</w:t>
      </w:r>
    </w:p>
    <w:p>
      <w:pPr>
        <w:numPr>
          <w:ilvl w:val="0"/>
          <w:numId w:val="11"/>
        </w:numPr>
        <w:spacing w:after="160" w:line="280" w:lineRule="auto"/>
      </w:pPr>
      <w:r>
        <w:rPr>
          <w:rFonts w:ascii="Calibri" w:hAnsi="Calibri"/>
        </w:rPr>
        <w:t>Crime mapping: normalise punctuation/case only, then match BOCSAR suburb name plus state and period to the crosswalk. Ambiguous/unmatched rows are quarantined for review.</w:t>
      </w:r>
    </w:p>
    <w:p>
      <w:pPr>
        <w:numPr>
          <w:ilvl w:val="0"/>
          <w:numId w:val="11"/>
        </w:numPr>
        <w:spacing w:after="160" w:line="280" w:lineRule="auto"/>
      </w:pPr>
      <w:r>
        <w:rPr>
          <w:rFonts w:ascii="Calibri" w:hAnsi="Calibri"/>
        </w:rPr>
        <w:t>Amenity assignment: transform all points to a common CRS, validate coordinates, and perform point-in-polygon offline. Persist source point and assigned suburb so user reads need no spatial join.</w:t>
      </w:r>
    </w:p>
    <w:p>
      <w:pPr>
        <w:numPr>
          <w:ilvl w:val="0"/>
          <w:numId w:val="11"/>
        </w:numPr>
        <w:spacing w:after="160" w:line="280" w:lineRule="auto"/>
      </w:pPr>
      <w:r>
        <w:rPr>
          <w:rFonts w:ascii="Calibri" w:hAnsi="Calibri"/>
        </w:rPr>
        <w:t>Display: source geography and match confidence travel with the evidence envelope. The UI never calls an ABS SAL boundary a gazetted boundary.</w:t>
      </w:r>
    </w:p>
    <w:p>
      <w:r>
        <w:br w:type="page"/>
      </w:r>
    </w:p>
    <w:p>
      <w:pPr>
        <w:pStyle w:val="Heading1"/>
      </w:pPr>
      <w:r>
        <w:t>Service architecture and API hook-ins</w:t>
      </w:r>
    </w:p>
    <w:p>
      <w:pPr>
        <w:spacing w:before="80" w:after="0"/>
        <w:jc w:val="center"/>
      </w:pPr>
      <w:r>
        <w:drawing>
          <wp:inline xmlns:a="http://schemas.openxmlformats.org/drawingml/2006/main" xmlns:pic="http://schemas.openxmlformats.org/drawingml/2006/picture">
            <wp:extent cx="5760720" cy="3089841"/>
            <wp:docPr id="1" name="Picture 1" title="Figure 1. Feature 3 service, data, and AI integration boundaries" descr="Architecture flow from browser through shared edge, Feature 3 frontend and backend, private database API and SQLite, with bounded calls to AI-mode, Feature 1, government ingestion, MCP/RAG, and Feature 5."/>
            <wp:cNvGraphicFramePr>
              <a:graphicFrameLocks noChangeAspect="1"/>
            </wp:cNvGraphicFramePr>
            <a:graphic>
              <a:graphicData uri="http://schemas.openxmlformats.org/drawingml/2006/picture">
                <pic:pic>
                  <pic:nvPicPr>
                    <pic:cNvPr id="0" name="feature3_architecture.png"/>
                    <pic:cNvPicPr/>
                  </pic:nvPicPr>
                  <pic:blipFill>
                    <a:blip r:embed="rId11"/>
                    <a:stretch>
                      <a:fillRect/>
                    </a:stretch>
                  </pic:blipFill>
                  <pic:spPr>
                    <a:xfrm>
                      <a:off x="0" y="0"/>
                      <a:ext cx="5760720" cy="3089841"/>
                    </a:xfrm>
                    <a:prstGeom prst="rect"/>
                  </pic:spPr>
                </pic:pic>
              </a:graphicData>
            </a:graphic>
          </wp:inline>
        </w:drawing>
      </w:r>
    </w:p>
    <w:p>
      <w:pPr>
        <w:pStyle w:val="Caption"/>
        <w:spacing w:before="80" w:after="200"/>
        <w:jc w:val="center"/>
      </w:pPr>
      <w:r>
        <w:rPr>
          <w:rFonts w:ascii="Calibri" w:hAnsi="Calibri"/>
          <w:i/>
          <w:color w:val="667085"/>
          <w:sz w:val="18"/>
        </w:rPr>
        <w:t>Figure 1. Feature 3 service, data, and AI integration boundaries</w:t>
      </w:r>
    </w:p>
    <w:p>
      <w:r>
        <w:rPr>
          <w:rFonts w:ascii="Calibri" w:hAnsi="Calibri"/>
        </w:rPr>
        <w:t>The public Feature 3 API base is /api/suburb-analytics/v1/. The frontend base is /features/suburb-analytics/. Exact new cross-feature routes remain proposals until the affected owner reviews them; they are called out below rather than treated as existing contracts.</w:t>
      </w:r>
    </w:p>
    <w:p>
      <w:pPr>
        <w:pStyle w:val="Heading2"/>
      </w:pPr>
      <w:r>
        <w:t>Public Feature 3 REST surface</w:t>
      </w:r>
    </w:p>
    <w:tbl>
      <w:tblPr>
        <w:tblStyle w:val="TableGrid"/>
        <w:tblW w:type="dxa" w:w="9360"/>
        <w:jc w:val="left"/>
        <w:tblLayout w:type="fixed"/>
        <w:tblLook w:firstColumn="1" w:firstRow="1" w:lastColumn="0" w:lastRow="0" w:noHBand="0" w:noVBand="1" w:val="04A0"/>
        <w:tblInd w:w="120" w:type="dxa"/>
      </w:tblPr>
      <w:tblGrid>
        <w:gridCol w:w="760"/>
        <w:gridCol w:w="2220"/>
        <w:gridCol w:w="1980"/>
        <w:gridCol w:w="2280"/>
        <w:gridCol w:w="2120"/>
      </w:tblGrid>
      <w:tr>
        <w:trPr>
          <w:tblHeader w:val="true"/>
          <w:cantSplit/>
        </w:trPr>
        <w:tc>
          <w:tcPr>
            <w:tcW w:type="dxa" w:w="7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Method</w:t>
            </w:r>
          </w:p>
        </w:tc>
        <w:tc>
          <w:tcPr>
            <w:tcW w:type="dxa" w:w="222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Path</w:t>
            </w:r>
          </w:p>
        </w:tc>
        <w:tc>
          <w:tcPr>
            <w:tcW w:type="dxa" w:w="198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Purpose</w:t>
            </w:r>
          </w:p>
        </w:tc>
        <w:tc>
          <w:tcPr>
            <w:tcW w:type="dxa" w:w="228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Key inputs</w:t>
            </w:r>
          </w:p>
        </w:tc>
        <w:tc>
          <w:tcPr>
            <w:tcW w:type="dxa" w:w="212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5"/>
              </w:rPr>
              <w:t>Response / notes</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/suburbs</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Search/filter/sort/paginate</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q, lga_code, postcode, amenity, indicator filters, sort, page, page_size</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items/page/page_size/total; stable name+ID ordering; evidence summary</w:t>
            </w:r>
          </w:p>
        </w:tc>
      </w:tr>
      <w:tr>
        <w:trPr>
          <w:cantSplit/>
        </w:trPr>
        <w:tc>
          <w:tcPr>
            <w:tcW w:type="dxa" w:w="760"/>
            <w:vAlign w:val="center"/>
            <w:shd w:fill="F8FAFC"/>
            <w:tcMar>
              <w:top w:w="80" w:type="dxa"/>
              <w:start w:w="120" w:type="dxa"/>
              <w:bottom w:w="80" w:type="dxa"/>
              <w:end w:w="120" w:type="dxa"/>
            </w:tcMar>
          </w:tcPr>
          <w:p>
            <w:pPr>
              <w:spacing w:after="0" w:line="240" w:lineRule="auto"/>
            </w:pPr>
            <w:r>
              <w:rPr>
                <w:rFonts w:ascii="Calibri" w:hAnsi="Calibri"/>
                <w:color w:val="1F2937"/>
                <w:sz w:val="15"/>
              </w:rPr>
              <w:t>POST</w:t>
            </w:r>
          </w:p>
        </w:tc>
        <w:tc>
          <w:tcPr>
            <w:tcW w:type="dxa" w:w="2220"/>
            <w:vAlign w:val="center"/>
            <w:shd w:fill="F8FAFC"/>
            <w:tcMar>
              <w:top w:w="80" w:type="dxa"/>
              <w:start w:w="120" w:type="dxa"/>
              <w:bottom w:w="80" w:type="dxa"/>
              <w:end w:w="120" w:type="dxa"/>
            </w:tcMar>
          </w:tcPr>
          <w:p>
            <w:pPr>
              <w:spacing w:after="0" w:line="240" w:lineRule="auto"/>
            </w:pPr>
            <w:r>
              <w:rPr>
                <w:rFonts w:ascii="Calibri" w:hAnsi="Calibri"/>
                <w:color w:val="1F2937"/>
                <w:sz w:val="15"/>
              </w:rPr>
              <w:t>/suburbs</w:t>
            </w:r>
          </w:p>
        </w:tc>
        <w:tc>
          <w:tcPr>
            <w:tcW w:type="dxa" w:w="1980"/>
            <w:vAlign w:val="center"/>
            <w:shd w:fill="F8FAFC"/>
            <w:tcMar>
              <w:top w:w="80" w:type="dxa"/>
              <w:start w:w="120" w:type="dxa"/>
              <w:bottom w:w="80" w:type="dxa"/>
              <w:end w:w="120" w:type="dxa"/>
            </w:tcMar>
          </w:tcPr>
          <w:p>
            <w:pPr>
              <w:spacing w:after="0" w:line="240" w:lineRule="auto"/>
            </w:pPr>
            <w:r>
              <w:rPr>
                <w:rFonts w:ascii="Calibri" w:hAnsi="Calibri"/>
                <w:color w:val="1F2937"/>
                <w:sz w:val="15"/>
              </w:rPr>
              <w:t>Operator-created curated suburb record</w:t>
            </w:r>
          </w:p>
        </w:tc>
        <w:tc>
          <w:tcPr>
            <w:tcW w:type="dxa" w:w="2280"/>
            <w:vAlign w:val="center"/>
            <w:shd w:fill="F8FAFC"/>
            <w:tcMar>
              <w:top w:w="80" w:type="dxa"/>
              <w:start w:w="120" w:type="dxa"/>
              <w:bottom w:w="80" w:type="dxa"/>
              <w:end w:w="120" w:type="dxa"/>
            </w:tcMar>
          </w:tcPr>
          <w:p>
            <w:pPr>
              <w:spacing w:after="0" w:line="240" w:lineRule="auto"/>
            </w:pPr>
            <w:r>
              <w:rPr>
                <w:rFonts w:ascii="Calibri" w:hAnsi="Calibri"/>
                <w:color w:val="1F2937"/>
                <w:sz w:val="15"/>
              </w:rPr>
              <w:t>Validated identity payload + Idempotency-Key</w:t>
            </w:r>
          </w:p>
        </w:tc>
        <w:tc>
          <w:tcPr>
            <w:tcW w:type="dxa" w:w="2120"/>
            <w:vAlign w:val="center"/>
            <w:shd w:fill="F8FAFC"/>
            <w:tcMar>
              <w:top w:w="80" w:type="dxa"/>
              <w:start w:w="120" w:type="dxa"/>
              <w:bottom w:w="80" w:type="dxa"/>
              <w:end w:w="120" w:type="dxa"/>
            </w:tcMar>
          </w:tcPr>
          <w:p>
            <w:pPr>
              <w:spacing w:after="0" w:line="240" w:lineRule="auto"/>
            </w:pPr>
            <w:r>
              <w:rPr>
                <w:rFonts w:ascii="Calibri" w:hAnsi="Calibri"/>
                <w:color w:val="1F2937"/>
                <w:sz w:val="15"/>
              </w:rPr>
              <w:t>201; restricted role; normally source ingestion owns creation</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/suburbs/{suburb_id}</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Profile projection</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include=overview,indicators,crime_summary,amenity_summary</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Independent section states; ETag; accepted release only</w:t>
            </w:r>
          </w:p>
        </w:tc>
      </w:tr>
      <w:tr>
        <w:trPr>
          <w:cantSplit/>
        </w:trPr>
        <w:tc>
          <w:tcPr>
            <w:tcW w:type="dxa" w:w="760"/>
            <w:vAlign w:val="center"/>
            <w:shd w:fill="F8FAFC"/>
            <w:tcMar>
              <w:top w:w="80" w:type="dxa"/>
              <w:start w:w="120" w:type="dxa"/>
              <w:bottom w:w="80" w:type="dxa"/>
              <w:end w:w="120" w:type="dxa"/>
            </w:tcMar>
          </w:tcPr>
          <w:p>
            <w:pPr>
              <w:spacing w:after="0" w:line="240" w:lineRule="auto"/>
            </w:pPr>
            <w:r>
              <w:rPr>
                <w:rFonts w:ascii="Calibri" w:hAnsi="Calibri"/>
                <w:color w:val="1F2937"/>
                <w:sz w:val="15"/>
              </w:rPr>
              <w:t>PATCH</w:t>
            </w:r>
          </w:p>
        </w:tc>
        <w:tc>
          <w:tcPr>
            <w:tcW w:type="dxa" w:w="2220"/>
            <w:vAlign w:val="center"/>
            <w:shd w:fill="F8FAFC"/>
            <w:tcMar>
              <w:top w:w="80" w:type="dxa"/>
              <w:start w:w="120" w:type="dxa"/>
              <w:bottom w:w="80" w:type="dxa"/>
              <w:end w:w="120" w:type="dxa"/>
            </w:tcMar>
          </w:tcPr>
          <w:p>
            <w:pPr>
              <w:spacing w:after="0" w:line="240" w:lineRule="auto"/>
            </w:pPr>
            <w:r>
              <w:rPr>
                <w:rFonts w:ascii="Calibri" w:hAnsi="Calibri"/>
                <w:color w:val="1F2937"/>
                <w:sz w:val="15"/>
              </w:rPr>
              <w:t>/suburbs/{suburb_id}</w:t>
            </w:r>
          </w:p>
        </w:tc>
        <w:tc>
          <w:tcPr>
            <w:tcW w:type="dxa" w:w="1980"/>
            <w:vAlign w:val="center"/>
            <w:shd w:fill="F8FAFC"/>
            <w:tcMar>
              <w:top w:w="80" w:type="dxa"/>
              <w:start w:w="120" w:type="dxa"/>
              <w:bottom w:w="80" w:type="dxa"/>
              <w:end w:w="120" w:type="dxa"/>
            </w:tcMar>
          </w:tcPr>
          <w:p>
            <w:pPr>
              <w:spacing w:after="0" w:line="240" w:lineRule="auto"/>
            </w:pPr>
            <w:r>
              <w:rPr>
                <w:rFonts w:ascii="Calibri" w:hAnsi="Calibri"/>
                <w:color w:val="1F2937"/>
                <w:sz w:val="15"/>
              </w:rPr>
              <w:t>Curated metadata correction</w:t>
            </w:r>
          </w:p>
        </w:tc>
        <w:tc>
          <w:tcPr>
            <w:tcW w:type="dxa" w:w="2280"/>
            <w:vAlign w:val="center"/>
            <w:shd w:fill="F8FAFC"/>
            <w:tcMar>
              <w:top w:w="80" w:type="dxa"/>
              <w:start w:w="120" w:type="dxa"/>
              <w:bottom w:w="80" w:type="dxa"/>
              <w:end w:w="120" w:type="dxa"/>
            </w:tcMar>
          </w:tcPr>
          <w:p>
            <w:pPr>
              <w:spacing w:after="0" w:line="240" w:lineRule="auto"/>
            </w:pPr>
            <w:r>
              <w:rPr>
                <w:rFonts w:ascii="Calibri" w:hAnsi="Calibri"/>
                <w:color w:val="1F2937"/>
                <w:sz w:val="15"/>
              </w:rPr>
              <w:t>JSON Merge Patch + If-Match</w:t>
            </w:r>
          </w:p>
        </w:tc>
        <w:tc>
          <w:tcPr>
            <w:tcW w:type="dxa" w:w="2120"/>
            <w:vAlign w:val="center"/>
            <w:shd w:fill="F8FAFC"/>
            <w:tcMar>
              <w:top w:w="80" w:type="dxa"/>
              <w:start w:w="120" w:type="dxa"/>
              <w:bottom w:w="80" w:type="dxa"/>
              <w:end w:w="120" w:type="dxa"/>
            </w:tcMar>
          </w:tcPr>
          <w:p>
            <w:pPr>
              <w:spacing w:after="0" w:line="240" w:lineRule="auto"/>
            </w:pPr>
            <w:r>
              <w:rPr>
                <w:rFonts w:ascii="Calibri" w:hAnsi="Calibri"/>
                <w:color w:val="1F2937"/>
                <w:sz w:val="15"/>
              </w:rPr>
              <w:t>Operator-only; 409 on version conflict; no source facts overwritten silently</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DELETE</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/suburbs/{suburb_id}</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Retire curated record</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If-Match</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Operator-only soft retirement where history exists; protected review</w:t>
            </w:r>
          </w:p>
        </w:tc>
      </w:tr>
      <w:tr>
        <w:trPr>
          <w:cantSplit/>
        </w:trPr>
        <w:tc>
          <w:tcPr>
            <w:tcW w:type="dxa" w:w="760"/>
            <w:vAlign w:val="center"/>
            <w:shd w:fill="F8FAFC"/>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shd w:fill="F8FAFC"/>
            <w:tcMar>
              <w:top w:w="80" w:type="dxa"/>
              <w:start w:w="120" w:type="dxa"/>
              <w:bottom w:w="80" w:type="dxa"/>
              <w:end w:w="120" w:type="dxa"/>
            </w:tcMar>
          </w:tcPr>
          <w:p>
            <w:pPr>
              <w:spacing w:after="0" w:line="240" w:lineRule="auto"/>
            </w:pPr>
            <w:r>
              <w:rPr>
                <w:rFonts w:ascii="Calibri" w:hAnsi="Calibri"/>
                <w:color w:val="1F2937"/>
                <w:sz w:val="15"/>
              </w:rPr>
              <w:t>/suburbs/{id}/indicators</w:t>
            </w:r>
          </w:p>
        </w:tc>
        <w:tc>
          <w:tcPr>
            <w:tcW w:type="dxa" w:w="1980"/>
            <w:vAlign w:val="center"/>
            <w:shd w:fill="F8FAFC"/>
            <w:tcMar>
              <w:top w:w="80" w:type="dxa"/>
              <w:start w:w="120" w:type="dxa"/>
              <w:bottom w:w="80" w:type="dxa"/>
              <w:end w:w="120" w:type="dxa"/>
            </w:tcMar>
          </w:tcPr>
          <w:p>
            <w:pPr>
              <w:spacing w:after="0" w:line="240" w:lineRule="auto"/>
            </w:pPr>
            <w:r>
              <w:rPr>
                <w:rFonts w:ascii="Calibri" w:hAnsi="Calibri"/>
                <w:color w:val="1F2937"/>
                <w:sz w:val="15"/>
              </w:rPr>
              <w:t>Raw and derived metrics</w:t>
            </w:r>
          </w:p>
        </w:tc>
        <w:tc>
          <w:tcPr>
            <w:tcW w:type="dxa" w:w="2280"/>
            <w:vAlign w:val="center"/>
            <w:shd w:fill="F8FAFC"/>
            <w:tcMar>
              <w:top w:w="80" w:type="dxa"/>
              <w:start w:w="120" w:type="dxa"/>
              <w:bottom w:w="80" w:type="dxa"/>
              <w:end w:w="120" w:type="dxa"/>
            </w:tcMar>
          </w:tcPr>
          <w:p>
            <w:pPr>
              <w:spacing w:after="0" w:line="240" w:lineRule="auto"/>
            </w:pPr>
            <w:r>
              <w:rPr>
                <w:rFonts w:ascii="Calibri" w:hAnsi="Calibri"/>
                <w:color w:val="1F2937"/>
                <w:sz w:val="15"/>
              </w:rPr>
              <w:t>metric_code, period, cohort</w:t>
            </w:r>
          </w:p>
        </w:tc>
        <w:tc>
          <w:tcPr>
            <w:tcW w:type="dxa" w:w="2120"/>
            <w:vAlign w:val="center"/>
            <w:shd w:fill="F8FAFC"/>
            <w:tcMar>
              <w:top w:w="80" w:type="dxa"/>
              <w:start w:w="120" w:type="dxa"/>
              <w:bottom w:w="80" w:type="dxa"/>
              <w:end w:w="120" w:type="dxa"/>
            </w:tcMar>
          </w:tcPr>
          <w:p>
            <w:pPr>
              <w:spacing w:after="0" w:line="240" w:lineRule="auto"/>
            </w:pPr>
            <w:r>
              <w:rPr>
                <w:rFonts w:ascii="Calibri" w:hAnsi="Calibri"/>
                <w:color w:val="1F2937"/>
                <w:sz w:val="15"/>
              </w:rPr>
              <w:t>Metric definition, raw value, display percentile, method/evidence</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/suburbs/{id}/crime</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Crime series and breakdown</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from, to, offence_group, grain, measure</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Series, comparable period, category totals; strict max date span</w:t>
            </w:r>
          </w:p>
        </w:tc>
      </w:tr>
      <w:tr>
        <w:trPr>
          <w:cantSplit/>
        </w:trPr>
        <w:tc>
          <w:tcPr>
            <w:tcW w:type="dxa" w:w="760"/>
            <w:vAlign w:val="center"/>
            <w:shd w:fill="F8FAFC"/>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shd w:fill="F8FAFC"/>
            <w:tcMar>
              <w:top w:w="80" w:type="dxa"/>
              <w:start w:w="120" w:type="dxa"/>
              <w:bottom w:w="80" w:type="dxa"/>
              <w:end w:w="120" w:type="dxa"/>
            </w:tcMar>
          </w:tcPr>
          <w:p>
            <w:pPr>
              <w:spacing w:after="0" w:line="240" w:lineRule="auto"/>
            </w:pPr>
            <w:r>
              <w:rPr>
                <w:rFonts w:ascii="Calibri" w:hAnsi="Calibri"/>
                <w:color w:val="1F2937"/>
                <w:sz w:val="15"/>
              </w:rPr>
              <w:t>/suburbs/{id}/amenities</w:t>
            </w:r>
          </w:p>
        </w:tc>
        <w:tc>
          <w:tcPr>
            <w:tcW w:type="dxa" w:w="1980"/>
            <w:vAlign w:val="center"/>
            <w:shd w:fill="F8FAFC"/>
            <w:tcMar>
              <w:top w:w="80" w:type="dxa"/>
              <w:start w:w="120" w:type="dxa"/>
              <w:bottom w:w="80" w:type="dxa"/>
              <w:end w:w="120" w:type="dxa"/>
            </w:tcMar>
          </w:tcPr>
          <w:p>
            <w:pPr>
              <w:spacing w:after="0" w:line="240" w:lineRule="auto"/>
            </w:pPr>
            <w:r>
              <w:rPr>
                <w:rFonts w:ascii="Calibri" w:hAnsi="Calibri"/>
                <w:color w:val="1F2937"/>
                <w:sz w:val="15"/>
              </w:rPr>
              <w:t>Amenity list/map data</w:t>
            </w:r>
          </w:p>
        </w:tc>
        <w:tc>
          <w:tcPr>
            <w:tcW w:type="dxa" w:w="2280"/>
            <w:vAlign w:val="center"/>
            <w:shd w:fill="F8FAFC"/>
            <w:tcMar>
              <w:top w:w="80" w:type="dxa"/>
              <w:start w:w="120" w:type="dxa"/>
              <w:bottom w:w="80" w:type="dxa"/>
              <w:end w:w="120" w:type="dxa"/>
            </w:tcMar>
          </w:tcPr>
          <w:p>
            <w:pPr>
              <w:spacing w:after="0" w:line="240" w:lineRule="auto"/>
            </w:pPr>
            <w:r>
              <w:rPr>
                <w:rFonts w:ascii="Calibri" w:hAnsi="Calibri"/>
                <w:color w:val="1F2937"/>
                <w:sz w:val="15"/>
              </w:rPr>
              <w:t>category, bbox, limit, cursor</w:t>
            </w:r>
          </w:p>
        </w:tc>
        <w:tc>
          <w:tcPr>
            <w:tcW w:type="dxa" w:w="2120"/>
            <w:vAlign w:val="center"/>
            <w:shd w:fill="F8FAFC"/>
            <w:tcMar>
              <w:top w:w="80" w:type="dxa"/>
              <w:start w:w="120" w:type="dxa"/>
              <w:bottom w:w="80" w:type="dxa"/>
              <w:end w:w="120" w:type="dxa"/>
            </w:tcMar>
          </w:tcPr>
          <w:p>
            <w:pPr>
              <w:spacing w:after="0" w:line="240" w:lineRule="auto"/>
            </w:pPr>
            <w:r>
              <w:rPr>
                <w:rFonts w:ascii="Calibri" w:hAnsi="Calibri"/>
                <w:color w:val="1F2937"/>
                <w:sz w:val="15"/>
              </w:rPr>
              <w:t>Bounded GeoJSON FeatureCollection plus accessible item projection</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/compare</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Aligned 2-4 suburb comparison</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suburb_id repeated, metric_code repeated, period, cohort</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Reject duplicates/misalignment; raw and display values</w:t>
            </w:r>
          </w:p>
        </w:tc>
      </w:tr>
      <w:tr>
        <w:trPr>
          <w:cantSplit/>
        </w:trPr>
        <w:tc>
          <w:tcPr>
            <w:tcW w:type="dxa" w:w="760"/>
            <w:vAlign w:val="center"/>
            <w:shd w:fill="F8FAFC"/>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shd w:fill="F8FAFC"/>
            <w:tcMar>
              <w:top w:w="80" w:type="dxa"/>
              <w:start w:w="120" w:type="dxa"/>
              <w:bottom w:w="80" w:type="dxa"/>
              <w:end w:w="120" w:type="dxa"/>
            </w:tcMar>
          </w:tcPr>
          <w:p>
            <w:pPr>
              <w:spacing w:after="0" w:line="240" w:lineRule="auto"/>
            </w:pPr>
            <w:r>
              <w:rPr>
                <w:rFonts w:ascii="Calibri" w:hAnsi="Calibri"/>
                <w:color w:val="1F2937"/>
                <w:sz w:val="15"/>
              </w:rPr>
              <w:t>/me/lists</w:t>
            </w:r>
          </w:p>
        </w:tc>
        <w:tc>
          <w:tcPr>
            <w:tcW w:type="dxa" w:w="1980"/>
            <w:vAlign w:val="center"/>
            <w:shd w:fill="F8FAFC"/>
            <w:tcMar>
              <w:top w:w="80" w:type="dxa"/>
              <w:start w:w="120" w:type="dxa"/>
              <w:bottom w:w="80" w:type="dxa"/>
              <w:end w:w="120" w:type="dxa"/>
            </w:tcMar>
          </w:tcPr>
          <w:p>
            <w:pPr>
              <w:spacing w:after="0" w:line="240" w:lineRule="auto"/>
            </w:pPr>
            <w:r>
              <w:rPr>
                <w:rFonts w:ascii="Calibri" w:hAnsi="Calibri"/>
                <w:color w:val="1F2937"/>
                <w:sz w:val="15"/>
              </w:rPr>
              <w:t>Read owned lists</w:t>
            </w:r>
          </w:p>
        </w:tc>
        <w:tc>
          <w:tcPr>
            <w:tcW w:type="dxa" w:w="2280"/>
            <w:vAlign w:val="center"/>
            <w:shd w:fill="F8FAFC"/>
            <w:tcMar>
              <w:top w:w="80" w:type="dxa"/>
              <w:start w:w="120" w:type="dxa"/>
              <w:bottom w:w="80" w:type="dxa"/>
              <w:end w:w="120" w:type="dxa"/>
            </w:tcMar>
          </w:tcPr>
          <w:p>
            <w:pPr>
              <w:spacing w:after="0" w:line="240" w:lineRule="auto"/>
            </w:pPr>
            <w:r>
              <w:rPr>
                <w:rFonts w:ascii="Calibri" w:hAnsi="Calibri"/>
                <w:color w:val="1F2937"/>
                <w:sz w:val="15"/>
              </w:rPr>
              <w:t>page/page_size</w:t>
            </w:r>
          </w:p>
        </w:tc>
        <w:tc>
          <w:tcPr>
            <w:tcW w:type="dxa" w:w="2120"/>
            <w:vAlign w:val="center"/>
            <w:shd w:fill="F8FAFC"/>
            <w:tcMar>
              <w:top w:w="80" w:type="dxa"/>
              <w:start w:w="120" w:type="dxa"/>
              <w:bottom w:w="80" w:type="dxa"/>
              <w:end w:w="120" w:type="dxa"/>
            </w:tcMar>
          </w:tcPr>
          <w:p>
            <w:pPr>
              <w:spacing w:after="0" w:line="240" w:lineRule="auto"/>
            </w:pPr>
            <w:r>
              <w:rPr>
                <w:rFonts w:ascii="Calibri" w:hAnsi="Calibri"/>
                <w:color w:val="1F2937"/>
                <w:sz w:val="15"/>
              </w:rPr>
              <w:t>Authentication required; never cache publicly</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POST</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/me/lists</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Create named list</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name + Idempotency-Key</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201 + ETag; ownership from auth subject, never request body</w:t>
            </w:r>
          </w:p>
        </w:tc>
      </w:tr>
      <w:tr>
        <w:trPr>
          <w:cantSplit/>
        </w:trPr>
        <w:tc>
          <w:tcPr>
            <w:tcW w:type="dxa" w:w="760"/>
            <w:vAlign w:val="center"/>
            <w:shd w:fill="F8FAFC"/>
            <w:tcMar>
              <w:top w:w="80" w:type="dxa"/>
              <w:start w:w="120" w:type="dxa"/>
              <w:bottom w:w="80" w:type="dxa"/>
              <w:end w:w="120" w:type="dxa"/>
            </w:tcMar>
          </w:tcPr>
          <w:p>
            <w:pPr>
              <w:spacing w:after="0" w:line="240" w:lineRule="auto"/>
            </w:pPr>
            <w:r>
              <w:rPr>
                <w:rFonts w:ascii="Calibri" w:hAnsi="Calibri"/>
                <w:color w:val="1F2937"/>
                <w:sz w:val="15"/>
              </w:rPr>
              <w:t>PATCH/DELETE</w:t>
            </w:r>
          </w:p>
        </w:tc>
        <w:tc>
          <w:tcPr>
            <w:tcW w:type="dxa" w:w="2220"/>
            <w:vAlign w:val="center"/>
            <w:shd w:fill="F8FAFC"/>
            <w:tcMar>
              <w:top w:w="80" w:type="dxa"/>
              <w:start w:w="120" w:type="dxa"/>
              <w:bottom w:w="80" w:type="dxa"/>
              <w:end w:w="120" w:type="dxa"/>
            </w:tcMar>
          </w:tcPr>
          <w:p>
            <w:pPr>
              <w:spacing w:after="0" w:line="240" w:lineRule="auto"/>
            </w:pPr>
            <w:r>
              <w:rPr>
                <w:rFonts w:ascii="Calibri" w:hAnsi="Calibri"/>
                <w:color w:val="1F2937"/>
                <w:sz w:val="15"/>
              </w:rPr>
              <w:t>/me/lists/{list_id}</w:t>
            </w:r>
          </w:p>
        </w:tc>
        <w:tc>
          <w:tcPr>
            <w:tcW w:type="dxa" w:w="1980"/>
            <w:vAlign w:val="center"/>
            <w:shd w:fill="F8FAFC"/>
            <w:tcMar>
              <w:top w:w="80" w:type="dxa"/>
              <w:start w:w="120" w:type="dxa"/>
              <w:bottom w:w="80" w:type="dxa"/>
              <w:end w:w="120" w:type="dxa"/>
            </w:tcMar>
          </w:tcPr>
          <w:p>
            <w:pPr>
              <w:spacing w:after="0" w:line="240" w:lineRule="auto"/>
            </w:pPr>
            <w:r>
              <w:rPr>
                <w:rFonts w:ascii="Calibri" w:hAnsi="Calibri"/>
                <w:color w:val="1F2937"/>
                <w:sz w:val="15"/>
              </w:rPr>
              <w:t>Rename/delete list</w:t>
            </w:r>
          </w:p>
        </w:tc>
        <w:tc>
          <w:tcPr>
            <w:tcW w:type="dxa" w:w="2280"/>
            <w:vAlign w:val="center"/>
            <w:shd w:fill="F8FAFC"/>
            <w:tcMar>
              <w:top w:w="80" w:type="dxa"/>
              <w:start w:w="120" w:type="dxa"/>
              <w:bottom w:w="80" w:type="dxa"/>
              <w:end w:w="120" w:type="dxa"/>
            </w:tcMar>
          </w:tcPr>
          <w:p>
            <w:pPr>
              <w:spacing w:after="0" w:line="240" w:lineRule="auto"/>
            </w:pPr>
            <w:r>
              <w:rPr>
                <w:rFonts w:ascii="Calibri" w:hAnsi="Calibri"/>
                <w:color w:val="1F2937"/>
                <w:sz w:val="15"/>
              </w:rPr>
              <w:t>If-Match; confirmation for delete</w:t>
            </w:r>
          </w:p>
        </w:tc>
        <w:tc>
          <w:tcPr>
            <w:tcW w:type="dxa" w:w="2120"/>
            <w:vAlign w:val="center"/>
            <w:shd w:fill="F8FAFC"/>
            <w:tcMar>
              <w:top w:w="80" w:type="dxa"/>
              <w:start w:w="120" w:type="dxa"/>
              <w:bottom w:w="80" w:type="dxa"/>
              <w:end w:w="120" w:type="dxa"/>
            </w:tcMar>
          </w:tcPr>
          <w:p>
            <w:pPr>
              <w:spacing w:after="0" w:line="240" w:lineRule="auto"/>
            </w:pPr>
            <w:r>
              <w:rPr>
                <w:rFonts w:ascii="Calibri" w:hAnsi="Calibri"/>
                <w:color w:val="1F2937"/>
                <w:sz w:val="15"/>
              </w:rPr>
              <w:t>204/200; 409 on stale version</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POST</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/me/lists/{list_id}/suburbs</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Save/favourite suburb</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suburb_id, is_favourite, note + Idempotency-Key</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201; unique list_id+suburb_id</w:t>
            </w:r>
          </w:p>
        </w:tc>
      </w:tr>
      <w:tr>
        <w:trPr>
          <w:cantSplit/>
        </w:trPr>
        <w:tc>
          <w:tcPr>
            <w:tcW w:type="dxa" w:w="760"/>
            <w:vAlign w:val="center"/>
            <w:shd w:fill="F8FAFC"/>
            <w:tcMar>
              <w:top w:w="80" w:type="dxa"/>
              <w:start w:w="120" w:type="dxa"/>
              <w:bottom w:w="80" w:type="dxa"/>
              <w:end w:w="120" w:type="dxa"/>
            </w:tcMar>
          </w:tcPr>
          <w:p>
            <w:pPr>
              <w:spacing w:after="0" w:line="240" w:lineRule="auto"/>
            </w:pPr>
            <w:r>
              <w:rPr>
                <w:rFonts w:ascii="Calibri" w:hAnsi="Calibri"/>
                <w:color w:val="1F2937"/>
                <w:sz w:val="15"/>
              </w:rPr>
              <w:t>PATCH/DELETE</w:t>
            </w:r>
          </w:p>
        </w:tc>
        <w:tc>
          <w:tcPr>
            <w:tcW w:type="dxa" w:w="2220"/>
            <w:vAlign w:val="center"/>
            <w:shd w:fill="F8FAFC"/>
            <w:tcMar>
              <w:top w:w="80" w:type="dxa"/>
              <w:start w:w="120" w:type="dxa"/>
              <w:bottom w:w="80" w:type="dxa"/>
              <w:end w:w="120" w:type="dxa"/>
            </w:tcMar>
          </w:tcPr>
          <w:p>
            <w:pPr>
              <w:spacing w:after="0" w:line="240" w:lineRule="auto"/>
            </w:pPr>
            <w:r>
              <w:rPr>
                <w:rFonts w:ascii="Calibri" w:hAnsi="Calibri"/>
                <w:color w:val="1F2937"/>
                <w:sz w:val="15"/>
              </w:rPr>
              <w:t>/me/saved-suburbs/{saved_id}</w:t>
            </w:r>
          </w:p>
        </w:tc>
        <w:tc>
          <w:tcPr>
            <w:tcW w:type="dxa" w:w="1980"/>
            <w:vAlign w:val="center"/>
            <w:shd w:fill="F8FAFC"/>
            <w:tcMar>
              <w:top w:w="80" w:type="dxa"/>
              <w:start w:w="120" w:type="dxa"/>
              <w:bottom w:w="80" w:type="dxa"/>
              <w:end w:w="120" w:type="dxa"/>
            </w:tcMar>
          </w:tcPr>
          <w:p>
            <w:pPr>
              <w:spacing w:after="0" w:line="240" w:lineRule="auto"/>
            </w:pPr>
            <w:r>
              <w:rPr>
                <w:rFonts w:ascii="Calibri" w:hAnsi="Calibri"/>
                <w:color w:val="1F2937"/>
                <w:sz w:val="15"/>
              </w:rPr>
              <w:t>Edit/remove saved suburb</w:t>
            </w:r>
          </w:p>
        </w:tc>
        <w:tc>
          <w:tcPr>
            <w:tcW w:type="dxa" w:w="2280"/>
            <w:vAlign w:val="center"/>
            <w:shd w:fill="F8FAFC"/>
            <w:tcMar>
              <w:top w:w="80" w:type="dxa"/>
              <w:start w:w="120" w:type="dxa"/>
              <w:bottom w:w="80" w:type="dxa"/>
              <w:end w:w="120" w:type="dxa"/>
            </w:tcMar>
          </w:tcPr>
          <w:p>
            <w:pPr>
              <w:spacing w:after="0" w:line="240" w:lineRule="auto"/>
            </w:pPr>
            <w:r>
              <w:rPr>
                <w:rFonts w:ascii="Calibri" w:hAnsi="Calibri"/>
                <w:color w:val="1F2937"/>
                <w:sz w:val="15"/>
              </w:rPr>
              <w:t>If-Match; note/favourite/order</w:t>
            </w:r>
          </w:p>
        </w:tc>
        <w:tc>
          <w:tcPr>
            <w:tcW w:type="dxa" w:w="2120"/>
            <w:vAlign w:val="center"/>
            <w:shd w:fill="F8FAFC"/>
            <w:tcMar>
              <w:top w:w="80" w:type="dxa"/>
              <w:start w:w="120" w:type="dxa"/>
              <w:bottom w:w="80" w:type="dxa"/>
              <w:end w:w="120" w:type="dxa"/>
            </w:tcMar>
          </w:tcPr>
          <w:p>
            <w:pPr>
              <w:spacing w:after="0" w:line="240" w:lineRule="auto"/>
            </w:pPr>
            <w:r>
              <w:rPr>
                <w:rFonts w:ascii="Calibri" w:hAnsi="Calibri"/>
                <w:color w:val="1F2937"/>
                <w:sz w:val="15"/>
              </w:rPr>
              <w:t>Ownership enforced; private data redacted from logs</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/datasets</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Public source/freshness summary</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dataset_key</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Accepted release, effective date, coverage, licence/source URL</w:t>
            </w:r>
          </w:p>
        </w:tc>
      </w:tr>
      <w:tr>
        <w:trPr>
          <w:cantSplit/>
        </w:trPr>
        <w:tc>
          <w:tcPr>
            <w:tcW w:type="dxa" w:w="760"/>
            <w:vAlign w:val="center"/>
            <w:shd w:fill="F8FAFC"/>
            <w:tcMar>
              <w:top w:w="80" w:type="dxa"/>
              <w:start w:w="120" w:type="dxa"/>
              <w:bottom w:w="80" w:type="dxa"/>
              <w:end w:w="120" w:type="dxa"/>
            </w:tcMar>
          </w:tcPr>
          <w:p>
            <w:pPr>
              <w:spacing w:after="0" w:line="240" w:lineRule="auto"/>
            </w:pPr>
            <w:r>
              <w:rPr>
                <w:rFonts w:ascii="Calibri" w:hAnsi="Calibri"/>
                <w:color w:val="1F2937"/>
                <w:sz w:val="15"/>
              </w:rPr>
              <w:t>POST</w:t>
            </w:r>
          </w:p>
        </w:tc>
        <w:tc>
          <w:tcPr>
            <w:tcW w:type="dxa" w:w="2220"/>
            <w:vAlign w:val="center"/>
            <w:shd w:fill="F8FAFC"/>
            <w:tcMar>
              <w:top w:w="80" w:type="dxa"/>
              <w:start w:w="120" w:type="dxa"/>
              <w:bottom w:w="80" w:type="dxa"/>
              <w:end w:w="120" w:type="dxa"/>
            </w:tcMar>
          </w:tcPr>
          <w:p>
            <w:pPr>
              <w:spacing w:after="0" w:line="240" w:lineRule="auto"/>
            </w:pPr>
            <w:r>
              <w:rPr>
                <w:rFonts w:ascii="Calibri" w:hAnsi="Calibri"/>
                <w:color w:val="1F2937"/>
                <w:sz w:val="15"/>
              </w:rPr>
              <w:t>/agent-runs</w:t>
            </w:r>
          </w:p>
        </w:tc>
        <w:tc>
          <w:tcPr>
            <w:tcW w:type="dxa" w:w="1980"/>
            <w:vAlign w:val="center"/>
            <w:shd w:fill="F8FAFC"/>
            <w:tcMar>
              <w:top w:w="80" w:type="dxa"/>
              <w:start w:w="120" w:type="dxa"/>
              <w:bottom w:w="80" w:type="dxa"/>
              <w:end w:w="120" w:type="dxa"/>
            </w:tcMar>
          </w:tcPr>
          <w:p>
            <w:pPr>
              <w:spacing w:after="0" w:line="240" w:lineRule="auto"/>
            </w:pPr>
            <w:r>
              <w:rPr>
                <w:rFonts w:ascii="Calibri" w:hAnsi="Calibri"/>
                <w:color w:val="1F2937"/>
                <w:sz w:val="15"/>
              </w:rPr>
              <w:t>Start bounded explanation</w:t>
            </w:r>
          </w:p>
        </w:tc>
        <w:tc>
          <w:tcPr>
            <w:tcW w:type="dxa" w:w="2280"/>
            <w:vAlign w:val="center"/>
            <w:shd w:fill="F8FAFC"/>
            <w:tcMar>
              <w:top w:w="80" w:type="dxa"/>
              <w:start w:w="120" w:type="dxa"/>
              <w:bottom w:w="80" w:type="dxa"/>
              <w:end w:w="120" w:type="dxa"/>
            </w:tcMar>
          </w:tcPr>
          <w:p>
            <w:pPr>
              <w:spacing w:after="0" w:line="240" w:lineRule="auto"/>
            </w:pPr>
            <w:r>
              <w:rPr>
                <w:rFonts w:ascii="Calibri" w:hAnsi="Calibri"/>
                <w:color w:val="1F2937"/>
                <w:sz w:val="15"/>
              </w:rPr>
              <w:t>objective_type, suburb_ids, metric_codes, period + Idempotency-Key</w:t>
            </w:r>
          </w:p>
        </w:tc>
        <w:tc>
          <w:tcPr>
            <w:tcW w:type="dxa" w:w="2120"/>
            <w:vAlign w:val="center"/>
            <w:shd w:fill="F8FAFC"/>
            <w:tcMar>
              <w:top w:w="80" w:type="dxa"/>
              <w:start w:w="120" w:type="dxa"/>
              <w:bottom w:w="80" w:type="dxa"/>
              <w:end w:w="120" w:type="dxa"/>
            </w:tcMar>
          </w:tcPr>
          <w:p>
            <w:pPr>
              <w:spacing w:after="0" w:line="240" w:lineRule="auto"/>
            </w:pPr>
            <w:r>
              <w:rPr>
                <w:rFonts w:ascii="Calibri" w:hAnsi="Calibri"/>
                <w:color w:val="1F2937"/>
                <w:sz w:val="15"/>
              </w:rPr>
              <w:t>Validates context then calls shared AI-mode; returns run reference</w:t>
            </w:r>
          </w:p>
        </w:tc>
      </w:tr>
      <w:tr>
        <w:trPr>
          <w:cantSplit/>
        </w:trPr>
        <w:tc>
          <w:tcPr>
            <w:tcW w:type="dxa" w:w="760"/>
            <w:vAlign w:val="center"/>
            <w:tcMar>
              <w:top w:w="80" w:type="dxa"/>
              <w:start w:w="120" w:type="dxa"/>
              <w:bottom w:w="80" w:type="dxa"/>
              <w:end w:w="120" w:type="dxa"/>
            </w:tcMar>
          </w:tcPr>
          <w:p>
            <w:pPr>
              <w:spacing w:after="0" w:line="240" w:lineRule="auto"/>
            </w:pPr>
            <w:r>
              <w:rPr>
                <w:rFonts w:ascii="Calibri" w:hAnsi="Calibri"/>
                <w:color w:val="1F2937"/>
                <w:sz w:val="15"/>
              </w:rPr>
              <w:t>GET</w:t>
            </w:r>
          </w:p>
        </w:tc>
        <w:tc>
          <w:tcPr>
            <w:tcW w:type="dxa" w:w="2220"/>
            <w:vAlign w:val="center"/>
            <w:tcMar>
              <w:top w:w="80" w:type="dxa"/>
              <w:start w:w="120" w:type="dxa"/>
              <w:bottom w:w="80" w:type="dxa"/>
              <w:end w:w="120" w:type="dxa"/>
            </w:tcMar>
          </w:tcPr>
          <w:p>
            <w:pPr>
              <w:spacing w:after="0" w:line="240" w:lineRule="auto"/>
            </w:pPr>
            <w:r>
              <w:rPr>
                <w:rFonts w:ascii="Calibri" w:hAnsi="Calibri"/>
                <w:color w:val="1F2937"/>
                <w:sz w:val="15"/>
              </w:rPr>
              <w:t>/health/live | /health/ready</w:t>
            </w:r>
          </w:p>
        </w:tc>
        <w:tc>
          <w:tcPr>
            <w:tcW w:type="dxa" w:w="1980"/>
            <w:vAlign w:val="center"/>
            <w:tcMar>
              <w:top w:w="80" w:type="dxa"/>
              <w:start w:w="120" w:type="dxa"/>
              <w:bottom w:w="80" w:type="dxa"/>
              <w:end w:w="120" w:type="dxa"/>
            </w:tcMar>
          </w:tcPr>
          <w:p>
            <w:pPr>
              <w:spacing w:after="0" w:line="240" w:lineRule="auto"/>
            </w:pPr>
            <w:r>
              <w:rPr>
                <w:rFonts w:ascii="Calibri" w:hAnsi="Calibri"/>
                <w:color w:val="1F2937"/>
                <w:sz w:val="15"/>
              </w:rPr>
              <w:t>Liveness/readiness</w:t>
            </w:r>
          </w:p>
        </w:tc>
        <w:tc>
          <w:tcPr>
            <w:tcW w:type="dxa" w:w="2280"/>
            <w:vAlign w:val="center"/>
            <w:tcMar>
              <w:top w:w="80" w:type="dxa"/>
              <w:start w:w="120" w:type="dxa"/>
              <w:bottom w:w="80" w:type="dxa"/>
              <w:end w:w="120" w:type="dxa"/>
            </w:tcMar>
          </w:tcPr>
          <w:p>
            <w:pPr>
              <w:spacing w:after="0" w:line="240" w:lineRule="auto"/>
            </w:pPr>
            <w:r>
              <w:rPr>
                <w:rFonts w:ascii="Calibri" w:hAnsi="Calibri"/>
                <w:color w:val="1F2937"/>
                <w:sz w:val="15"/>
              </w:rPr>
              <w:t>None</w:t>
            </w:r>
          </w:p>
        </w:tc>
        <w:tc>
          <w:tcPr>
            <w:tcW w:type="dxa" w:w="2120"/>
            <w:vAlign w:val="center"/>
            <w:tcMar>
              <w:top w:w="80" w:type="dxa"/>
              <w:start w:w="120" w:type="dxa"/>
              <w:bottom w:w="80" w:type="dxa"/>
              <w:end w:w="120" w:type="dxa"/>
            </w:tcMar>
          </w:tcPr>
          <w:p>
            <w:pPr>
              <w:spacing w:after="0" w:line="240" w:lineRule="auto"/>
            </w:pPr>
            <w:r>
              <w:rPr>
                <w:rFonts w:ascii="Calibri" w:hAnsi="Calibri"/>
                <w:color w:val="1F2937"/>
                <w:sz w:val="15"/>
              </w:rPr>
              <w:t>Ready reports migrations/store and dependency state truthfully</w:t>
            </w:r>
          </w:p>
        </w:tc>
      </w:tr>
    </w:tbl>
    <w:p>
      <w:pPr>
        <w:spacing w:after="40"/>
      </w:pPr>
    </w:p>
    <w:p>
      <w:pPr>
        <w:pStyle w:val="Heading2"/>
      </w:pPr>
      <w:r>
        <w:t>Internal and cross-feature hook-ins</w:t>
      </w:r>
    </w:p>
    <w:tbl>
      <w:tblPr>
        <w:tblStyle w:val="TableGrid"/>
        <w:tblW w:type="dxa" w:w="9360"/>
        <w:jc w:val="left"/>
        <w:tblLayout w:type="fixed"/>
        <w:tblLook w:firstColumn="1" w:firstRow="1" w:lastColumn="0" w:lastRow="0" w:noHBand="0" w:noVBand="1" w:val="04A0"/>
        <w:tblInd w:w="120" w:type="dxa"/>
      </w:tblPr>
      <w:tblGrid>
        <w:gridCol w:w="1600"/>
        <w:gridCol w:w="1700"/>
        <w:gridCol w:w="2800"/>
        <w:gridCol w:w="3260"/>
      </w:tblGrid>
      <w:tr>
        <w:trPr>
          <w:tblHeader w:val="true"/>
          <w:cantSplit/>
        </w:trPr>
        <w:tc>
          <w:tcPr>
            <w:tcW w:type="dxa" w:w="16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Hook</w:t>
            </w:r>
          </w:p>
        </w:tc>
        <w:tc>
          <w:tcPr>
            <w:tcW w:type="dxa" w:w="17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Direction</w:t>
            </w:r>
          </w:p>
        </w:tc>
        <w:tc>
          <w:tcPr>
            <w:tcW w:type="dxa" w:w="28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Contract</w:t>
            </w:r>
          </w:p>
        </w:tc>
        <w:tc>
          <w:tcPr>
            <w:tcW w:type="dxa" w:w="32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Decision / behaviour</w:t>
            </w:r>
          </w:p>
        </w:tc>
      </w:tr>
      <w:tr>
        <w:trPr>
          <w:cantSplit/>
        </w:trPr>
        <w:tc>
          <w:tcPr>
            <w:tcW w:type="dxa" w:w="1600"/>
            <w:vAlign w:val="center"/>
            <w:tcMar>
              <w:top w:w="80" w:type="dxa"/>
              <w:start w:w="120" w:type="dxa"/>
              <w:bottom w:w="80" w:type="dxa"/>
              <w:end w:w="120" w:type="dxa"/>
            </w:tcMar>
          </w:tcPr>
          <w:p>
            <w:pPr>
              <w:spacing w:after="0" w:line="240" w:lineRule="auto"/>
            </w:pPr>
            <w:r>
              <w:rPr>
                <w:rFonts w:ascii="Calibri" w:hAnsi="Calibri"/>
                <w:color w:val="1F2937"/>
                <w:sz w:val="16"/>
              </w:rPr>
              <w:t>Shared edge</w:t>
            </w:r>
          </w:p>
        </w:tc>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Browser -&gt; Feature 3</w:t>
            </w:r>
          </w:p>
        </w:tc>
        <w:tc>
          <w:tcPr>
            <w:tcW w:type="dxa" w:w="2800"/>
            <w:vAlign w:val="center"/>
            <w:tcMar>
              <w:top w:w="80" w:type="dxa"/>
              <w:start w:w="120" w:type="dxa"/>
              <w:bottom w:w="80" w:type="dxa"/>
              <w:end w:w="120" w:type="dxa"/>
            </w:tcMar>
          </w:tcPr>
          <w:p>
            <w:pPr>
              <w:spacing w:after="0" w:line="240" w:lineRule="auto"/>
            </w:pPr>
            <w:r>
              <w:rPr>
                <w:rFonts w:ascii="Calibri" w:hAnsi="Calibri"/>
                <w:color w:val="1F2937"/>
                <w:sz w:val="16"/>
              </w:rPr>
              <w:t>Reserved public frontend/API bases</w:t>
            </w:r>
          </w:p>
        </w:tc>
        <w:tc>
          <w:tcPr>
            <w:tcW w:type="dxa" w:w="3260"/>
            <w:vAlign w:val="center"/>
            <w:tcMar>
              <w:top w:w="80" w:type="dxa"/>
              <w:start w:w="120" w:type="dxa"/>
              <w:bottom w:w="80" w:type="dxa"/>
              <w:end w:w="120" w:type="dxa"/>
            </w:tcMar>
          </w:tcPr>
          <w:p>
            <w:pPr>
              <w:spacing w:after="0" w:line="240" w:lineRule="auto"/>
            </w:pPr>
            <w:r>
              <w:rPr>
                <w:rFonts w:ascii="Calibri" w:hAnsi="Calibri"/>
                <w:color w:val="1F2937"/>
                <w:sz w:val="16"/>
              </w:rPr>
              <w:t>Use relative assets and absolute namespaced API calls; unknown API routes return Problem Details, never shell HTML.</w:t>
            </w:r>
          </w:p>
        </w:tc>
      </w:tr>
      <w:tr>
        <w:trPr>
          <w:cantSplit/>
        </w:trPr>
        <w:tc>
          <w:tcPr>
            <w:tcW w:type="dxa" w:w="1600"/>
            <w:vAlign w:val="center"/>
            <w:shd w:fill="F8FAFC"/>
            <w:tcMar>
              <w:top w:w="80" w:type="dxa"/>
              <w:start w:w="120" w:type="dxa"/>
              <w:bottom w:w="80" w:type="dxa"/>
              <w:end w:w="120" w:type="dxa"/>
            </w:tcMar>
          </w:tcPr>
          <w:p>
            <w:pPr>
              <w:spacing w:after="0" w:line="240" w:lineRule="auto"/>
            </w:pPr>
            <w:r>
              <w:rPr>
                <w:rFonts w:ascii="Calibri" w:hAnsi="Calibri"/>
                <w:color w:val="1F2937"/>
                <w:sz w:val="16"/>
              </w:rPr>
              <w:t>Feature 3 database API</w:t>
            </w:r>
          </w:p>
        </w:tc>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6"/>
              </w:rPr>
              <w:t>Backend -&gt; f3-database</w:t>
            </w:r>
          </w:p>
        </w:tc>
        <w:tc>
          <w:tcPr>
            <w:tcW w:type="dxa" w:w="2800"/>
            <w:vAlign w:val="center"/>
            <w:shd w:fill="F8FAFC"/>
            <w:tcMar>
              <w:top w:w="80" w:type="dxa"/>
              <w:start w:w="120" w:type="dxa"/>
              <w:bottom w:w="80" w:type="dxa"/>
              <w:end w:w="120" w:type="dxa"/>
            </w:tcMar>
          </w:tcPr>
          <w:p>
            <w:pPr>
              <w:spacing w:after="0" w:line="240" w:lineRule="auto"/>
            </w:pPr>
            <w:r>
              <w:rPr>
                <w:rFonts w:ascii="Calibri" w:hAnsi="Calibri"/>
                <w:color w:val="1F2937"/>
                <w:sz w:val="16"/>
              </w:rPr>
              <w:t>Private /internal/v1 persistence routes</w:t>
            </w:r>
          </w:p>
        </w:tc>
        <w:tc>
          <w:tcPr>
            <w:tcW w:type="dxa" w:w="3260"/>
            <w:vAlign w:val="center"/>
            <w:shd w:fill="F8FAFC"/>
            <w:tcMar>
              <w:top w:w="80" w:type="dxa"/>
              <w:start w:w="120" w:type="dxa"/>
              <w:bottom w:w="80" w:type="dxa"/>
              <w:end w:w="120" w:type="dxa"/>
            </w:tcMar>
          </w:tcPr>
          <w:p>
            <w:pPr>
              <w:spacing w:after="0" w:line="240" w:lineRule="auto"/>
            </w:pPr>
            <w:r>
              <w:rPr>
                <w:rFonts w:ascii="Calibri" w:hAnsi="Calibri"/>
                <w:color w:val="1F2937"/>
                <w:sz w:val="16"/>
              </w:rPr>
              <w:t>Only service with SQLite URL/volume; migration, seed and CRUD/filter endpoints; never exposed by edge.</w:t>
            </w:r>
          </w:p>
        </w:tc>
      </w:tr>
      <w:tr>
        <w:trPr>
          <w:cantSplit/>
        </w:trPr>
        <w:tc>
          <w:tcPr>
            <w:tcW w:type="dxa" w:w="1600"/>
            <w:vAlign w:val="center"/>
            <w:tcMar>
              <w:top w:w="80" w:type="dxa"/>
              <w:start w:w="120" w:type="dxa"/>
              <w:bottom w:w="80" w:type="dxa"/>
              <w:end w:w="120" w:type="dxa"/>
            </w:tcMar>
          </w:tcPr>
          <w:p>
            <w:pPr>
              <w:spacing w:after="0" w:line="240" w:lineRule="auto"/>
            </w:pPr>
            <w:r>
              <w:rPr>
                <w:rFonts w:ascii="Calibri" w:hAnsi="Calibri"/>
                <w:color w:val="1F2937"/>
                <w:sz w:val="16"/>
              </w:rPr>
              <w:t>Feature 1 locality validation</w:t>
            </w:r>
          </w:p>
        </w:tc>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Feature 3 -&gt; Feature 1</w:t>
            </w:r>
          </w:p>
        </w:tc>
        <w:tc>
          <w:tcPr>
            <w:tcW w:type="dxa" w:w="2800"/>
            <w:vAlign w:val="center"/>
            <w:tcMar>
              <w:top w:w="80" w:type="dxa"/>
              <w:start w:w="120" w:type="dxa"/>
              <w:bottom w:w="80" w:type="dxa"/>
              <w:end w:w="120" w:type="dxa"/>
            </w:tcMar>
          </w:tcPr>
          <w:p>
            <w:pPr>
              <w:spacing w:after="0" w:line="240" w:lineRule="auto"/>
            </w:pPr>
            <w:r>
              <w:rPr>
                <w:rFonts w:ascii="Calibri" w:hAnsi="Calibri"/>
                <w:color w:val="1F2937"/>
                <w:sz w:val="16"/>
              </w:rPr>
              <w:t>Proposed bounded state+locality validation endpoint</w:t>
            </w:r>
          </w:p>
        </w:tc>
        <w:tc>
          <w:tcPr>
            <w:tcW w:type="dxa" w:w="3260"/>
            <w:vAlign w:val="center"/>
            <w:tcMar>
              <w:top w:w="80" w:type="dxa"/>
              <w:start w:w="120" w:type="dxa"/>
              <w:bottom w:w="80" w:type="dxa"/>
              <w:end w:w="120" w:type="dxa"/>
            </w:tcMar>
          </w:tcPr>
          <w:p>
            <w:pPr>
              <w:spacing w:after="0" w:line="240" w:lineRule="auto"/>
            </w:pPr>
            <w:r>
              <w:rPr>
                <w:rFonts w:ascii="Calibri" w:hAnsi="Calibri"/>
                <w:color w:val="1F2937"/>
                <w:sz w:val="16"/>
              </w:rPr>
              <w:t>Confirm route/schema with Feature 1 owner. Timeout preserves local accepted data and returns validation state, not a guessed match.</w:t>
            </w:r>
          </w:p>
        </w:tc>
      </w:tr>
      <w:tr>
        <w:trPr>
          <w:cantSplit/>
        </w:trPr>
        <w:tc>
          <w:tcPr>
            <w:tcW w:type="dxa" w:w="1600"/>
            <w:vAlign w:val="center"/>
            <w:shd w:fill="F8FAFC"/>
            <w:tcMar>
              <w:top w:w="80" w:type="dxa"/>
              <w:start w:w="120" w:type="dxa"/>
              <w:bottom w:w="80" w:type="dxa"/>
              <w:end w:w="120" w:type="dxa"/>
            </w:tcMar>
          </w:tcPr>
          <w:p>
            <w:pPr>
              <w:spacing w:after="0" w:line="240" w:lineRule="auto"/>
            </w:pPr>
            <w:r>
              <w:rPr>
                <w:rFonts w:ascii="Calibri" w:hAnsi="Calibri"/>
                <w:color w:val="1F2937"/>
                <w:sz w:val="16"/>
              </w:rPr>
              <w:t>Feature 1 publication</w:t>
            </w:r>
          </w:p>
        </w:tc>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6"/>
              </w:rPr>
              <w:t>Feature 1 -&gt; Feature 3 import</w:t>
            </w:r>
          </w:p>
        </w:tc>
        <w:tc>
          <w:tcPr>
            <w:tcW w:type="dxa" w:w="2800"/>
            <w:vAlign w:val="center"/>
            <w:shd w:fill="F8FAFC"/>
            <w:tcMar>
              <w:top w:w="80" w:type="dxa"/>
              <w:start w:w="120" w:type="dxa"/>
              <w:bottom w:w="80" w:type="dxa"/>
              <w:end w:w="120" w:type="dxa"/>
            </w:tcMar>
          </w:tcPr>
          <w:p>
            <w:pPr>
              <w:spacing w:after="0" w:line="240" w:lineRule="auto"/>
            </w:pPr>
            <w:r>
              <w:rPr>
                <w:rFonts w:ascii="Calibri" w:hAnsi="Calibri"/>
                <w:color w:val="1F2937"/>
                <w:sz w:val="16"/>
              </w:rPr>
              <w:t>Immutable artefact + manifest + consumer receipt</w:t>
            </w:r>
          </w:p>
        </w:tc>
        <w:tc>
          <w:tcPr>
            <w:tcW w:type="dxa" w:w="3260"/>
            <w:vAlign w:val="center"/>
            <w:shd w:fill="F8FAFC"/>
            <w:tcMar>
              <w:top w:w="80" w:type="dxa"/>
              <w:start w:w="120" w:type="dxa"/>
              <w:bottom w:w="80" w:type="dxa"/>
              <w:end w:w="120" w:type="dxa"/>
            </w:tcMar>
          </w:tcPr>
          <w:p>
            <w:pPr>
              <w:spacing w:after="0" w:line="240" w:lineRule="auto"/>
            </w:pPr>
            <w:r>
              <w:rPr>
                <w:rFonts w:ascii="Calibri" w:hAnsi="Calibri"/>
                <w:color w:val="1F2937"/>
                <w:sz w:val="16"/>
              </w:rPr>
              <w:t>Use where a source is governed by Feature 1; Feature 3 validates owned semantics and imports atomically.</w:t>
            </w:r>
          </w:p>
        </w:tc>
      </w:tr>
      <w:tr>
        <w:trPr>
          <w:cantSplit/>
        </w:trPr>
        <w:tc>
          <w:tcPr>
            <w:tcW w:type="dxa" w:w="1600"/>
            <w:vAlign w:val="center"/>
            <w:tcMar>
              <w:top w:w="80" w:type="dxa"/>
              <w:start w:w="120" w:type="dxa"/>
              <w:bottom w:w="80" w:type="dxa"/>
              <w:end w:w="120" w:type="dxa"/>
            </w:tcMar>
          </w:tcPr>
          <w:p>
            <w:pPr>
              <w:spacing w:after="0" w:line="240" w:lineRule="auto"/>
            </w:pPr>
            <w:r>
              <w:rPr>
                <w:rFonts w:ascii="Calibri" w:hAnsi="Calibri"/>
                <w:color w:val="1F2937"/>
                <w:sz w:val="16"/>
              </w:rPr>
              <w:t>AI-mode</w:t>
            </w:r>
          </w:p>
        </w:tc>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Feature 3 &lt;-&gt; AI-mode</w:t>
            </w:r>
          </w:p>
        </w:tc>
        <w:tc>
          <w:tcPr>
            <w:tcW w:type="dxa" w:w="2800"/>
            <w:vAlign w:val="center"/>
            <w:tcMar>
              <w:top w:w="80" w:type="dxa"/>
              <w:start w:w="120" w:type="dxa"/>
              <w:bottom w:w="80" w:type="dxa"/>
              <w:end w:w="120" w:type="dxa"/>
            </w:tcMar>
          </w:tcPr>
          <w:p>
            <w:pPr>
              <w:spacing w:after="0" w:line="240" w:lineRule="auto"/>
            </w:pPr>
            <w:r>
              <w:rPr>
                <w:rFonts w:ascii="Calibri" w:hAnsi="Calibri"/>
                <w:color w:val="1F2937"/>
                <w:sz w:val="16"/>
              </w:rPr>
              <w:t>POST /api/v1/agent-runs and registered tool callbacks</w:t>
            </w:r>
          </w:p>
        </w:tc>
        <w:tc>
          <w:tcPr>
            <w:tcW w:type="dxa" w:w="3260"/>
            <w:vAlign w:val="center"/>
            <w:tcMar>
              <w:top w:w="80" w:type="dxa"/>
              <w:start w:w="120" w:type="dxa"/>
              <w:bottom w:w="80" w:type="dxa"/>
              <w:end w:w="120" w:type="dxa"/>
            </w:tcMar>
          </w:tcPr>
          <w:p>
            <w:pPr>
              <w:spacing w:after="0" w:line="240" w:lineRule="auto"/>
            </w:pPr>
            <w:r>
              <w:rPr>
                <w:rFonts w:ascii="Calibri" w:hAnsi="Calibri"/>
                <w:color w:val="1F2937"/>
                <w:sz w:val="16"/>
              </w:rPr>
              <w:t>Propagate X-Request-ID, X-Agent-Run-ID, traceparent; AI-mode never sees F3 DB credentials.</w:t>
            </w:r>
          </w:p>
        </w:tc>
      </w:tr>
      <w:tr>
        <w:trPr>
          <w:cantSplit/>
        </w:trPr>
        <w:tc>
          <w:tcPr>
            <w:tcW w:type="dxa" w:w="1600"/>
            <w:vAlign w:val="center"/>
            <w:shd w:fill="F8FAFC"/>
            <w:tcMar>
              <w:top w:w="80" w:type="dxa"/>
              <w:start w:w="120" w:type="dxa"/>
              <w:bottom w:w="80" w:type="dxa"/>
              <w:end w:w="120" w:type="dxa"/>
            </w:tcMar>
          </w:tcPr>
          <w:p>
            <w:pPr>
              <w:spacing w:after="0" w:line="240" w:lineRule="auto"/>
            </w:pPr>
            <w:r>
              <w:rPr>
                <w:rFonts w:ascii="Calibri" w:hAnsi="Calibri"/>
                <w:color w:val="1F2937"/>
                <w:sz w:val="16"/>
              </w:rPr>
              <w:t>Feature 5</w:t>
            </w:r>
          </w:p>
        </w:tc>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6"/>
              </w:rPr>
              <w:t>Feature 5 -&gt; Feature 3</w:t>
            </w:r>
          </w:p>
        </w:tc>
        <w:tc>
          <w:tcPr>
            <w:tcW w:type="dxa" w:w="2800"/>
            <w:vAlign w:val="center"/>
            <w:shd w:fill="F8FAFC"/>
            <w:tcMar>
              <w:top w:w="80" w:type="dxa"/>
              <w:start w:w="120" w:type="dxa"/>
              <w:bottom w:w="80" w:type="dxa"/>
              <w:end w:w="120" w:type="dxa"/>
            </w:tcMar>
          </w:tcPr>
          <w:p>
            <w:pPr>
              <w:spacing w:after="0" w:line="240" w:lineRule="auto"/>
            </w:pPr>
            <w:r>
              <w:rPr>
                <w:rFonts w:ascii="Calibri" w:hAnsi="Calibri"/>
                <w:color w:val="1F2937"/>
                <w:sz w:val="16"/>
              </w:rPr>
              <w:t>Proposed /research-sections/suburbs/{id}</w:t>
            </w:r>
          </w:p>
        </w:tc>
        <w:tc>
          <w:tcPr>
            <w:tcW w:type="dxa" w:w="3260"/>
            <w:vAlign w:val="center"/>
            <w:shd w:fill="F8FAFC"/>
            <w:tcMar>
              <w:top w:w="80" w:type="dxa"/>
              <w:start w:w="120" w:type="dxa"/>
              <w:bottom w:w="80" w:type="dxa"/>
              <w:end w:w="120" w:type="dxa"/>
            </w:tcMar>
          </w:tcPr>
          <w:p>
            <w:pPr>
              <w:spacing w:after="0" w:line="240" w:lineRule="auto"/>
            </w:pPr>
            <w:r>
              <w:rPr>
                <w:rFonts w:ascii="Calibri" w:hAnsi="Calibri"/>
                <w:color w:val="1F2937"/>
                <w:sz w:val="16"/>
              </w:rPr>
              <w:t>Stable bounded projection with section states and evidence; Feature 5 must not recalculate F3 metrics.</w:t>
            </w:r>
          </w:p>
        </w:tc>
      </w:tr>
      <w:tr>
        <w:trPr>
          <w:cantSplit/>
        </w:trPr>
        <w:tc>
          <w:tcPr>
            <w:tcW w:type="dxa" w:w="1600"/>
            <w:vAlign w:val="center"/>
            <w:tcMar>
              <w:top w:w="80" w:type="dxa"/>
              <w:start w:w="120" w:type="dxa"/>
              <w:bottom w:w="80" w:type="dxa"/>
              <w:end w:w="120" w:type="dxa"/>
            </w:tcMar>
          </w:tcPr>
          <w:p>
            <w:pPr>
              <w:spacing w:after="0" w:line="240" w:lineRule="auto"/>
            </w:pPr>
            <w:r>
              <w:rPr>
                <w:rFonts w:ascii="Calibri" w:hAnsi="Calibri"/>
                <w:color w:val="1F2937"/>
                <w:sz w:val="16"/>
              </w:rPr>
              <w:t>MCP / RAG</w:t>
            </w:r>
          </w:p>
        </w:tc>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Local Release 1</w:t>
            </w:r>
          </w:p>
        </w:tc>
        <w:tc>
          <w:tcPr>
            <w:tcW w:type="dxa" w:w="2800"/>
            <w:vAlign w:val="center"/>
            <w:tcMar>
              <w:top w:w="80" w:type="dxa"/>
              <w:start w:w="120" w:type="dxa"/>
              <w:bottom w:w="80" w:type="dxa"/>
              <w:end w:w="120" w:type="dxa"/>
            </w:tcMar>
          </w:tcPr>
          <w:p>
            <w:pPr>
              <w:spacing w:after="0" w:line="240" w:lineRule="auto"/>
            </w:pPr>
            <w:r>
              <w:rPr>
                <w:rFonts w:ascii="Calibri" w:hAnsi="Calibri"/>
                <w:color w:val="1F2937"/>
                <w:sz w:val="16"/>
              </w:rPr>
              <w:t>Adapters over existing tools and versioned method corpus</w:t>
            </w:r>
          </w:p>
        </w:tc>
        <w:tc>
          <w:tcPr>
            <w:tcW w:type="dxa" w:w="3260"/>
            <w:vAlign w:val="center"/>
            <w:tcMar>
              <w:top w:w="80" w:type="dxa"/>
              <w:start w:w="120" w:type="dxa"/>
              <w:bottom w:w="80" w:type="dxa"/>
              <w:end w:w="120" w:type="dxa"/>
            </w:tcMar>
          </w:tcPr>
          <w:p>
            <w:pPr>
              <w:spacing w:after="0" w:line="240" w:lineRule="auto"/>
            </w:pPr>
            <w:r>
              <w:rPr>
                <w:rFonts w:ascii="Calibri" w:hAnsi="Calibri"/>
                <w:color w:val="1F2937"/>
                <w:sz w:val="16"/>
              </w:rPr>
              <w:t>No duplicated CRUD; RAG grounds definitions/source notes. Both remain capability-gated and absent from Release 2 cloud per current architecture.</w:t>
            </w:r>
          </w:p>
        </w:tc>
      </w:tr>
    </w:tbl>
    <w:p>
      <w:pPr>
        <w:spacing w:after="40"/>
      </w:pPr>
    </w:p>
    <w:p>
      <w:pPr>
        <w:pStyle w:val="Heading2"/>
      </w:pPr>
      <w:r>
        <w:t>API conventions</w:t>
      </w:r>
    </w:p>
    <w:p>
      <w:pPr>
        <w:numPr>
          <w:ilvl w:val="0"/>
          <w:numId w:val="1"/>
        </w:numPr>
        <w:spacing w:after="160" w:line="280" w:lineRule="auto"/>
      </w:pPr>
      <w:r>
        <w:rPr>
          <w:rFonts w:ascii="Calibri" w:hAnsi="Calibri"/>
        </w:rPr>
        <w:t>JSON uses snake_case; timestamps are UTC RFC 3339; IDs use UUIDv7 when consistently supported, otherwise UUIDv4.</w:t>
      </w:r>
    </w:p>
    <w:p>
      <w:pPr>
        <w:numPr>
          <w:ilvl w:val="0"/>
          <w:numId w:val="1"/>
        </w:numPr>
        <w:spacing w:after="160" w:line="280" w:lineRule="auto"/>
      </w:pPr>
      <w:r>
        <w:rPr>
          <w:rFonts w:ascii="Calibri" w:hAnsi="Calibri"/>
        </w:rPr>
        <w:t>List responses use items, page, page_size, total, and a stable secondary sort. page_size is capped, and expensive map results use cursor/bounds limits.</w:t>
      </w:r>
    </w:p>
    <w:p>
      <w:pPr>
        <w:numPr>
          <w:ilvl w:val="0"/>
          <w:numId w:val="1"/>
        </w:numPr>
        <w:spacing w:after="160" w:line="280" w:lineRule="auto"/>
      </w:pPr>
      <w:r>
        <w:rPr>
          <w:rFonts w:ascii="Calibri" w:hAnsi="Calibri"/>
        </w:rPr>
        <w:t>Errors use the shared Problem Details-compatible envelope with type, title, status, detail, instance, code, request_id, and field errors.</w:t>
      </w:r>
    </w:p>
    <w:p>
      <w:pPr>
        <w:numPr>
          <w:ilvl w:val="0"/>
          <w:numId w:val="1"/>
        </w:numPr>
        <w:spacing w:after="160" w:line="280" w:lineRule="auto"/>
      </w:pPr>
      <w:r>
        <w:rPr>
          <w:rFonts w:ascii="Calibri" w:hAnsi="Calibri"/>
        </w:rPr>
        <w:t>Every request accepts or creates X-Request-ID. Agent traffic also carries X-Agent-Run-ID and traceparent where available.</w:t>
      </w:r>
    </w:p>
    <w:p>
      <w:pPr>
        <w:numPr>
          <w:ilvl w:val="0"/>
          <w:numId w:val="1"/>
        </w:numPr>
        <w:spacing w:after="160" w:line="280" w:lineRule="auto"/>
      </w:pPr>
      <w:r>
        <w:rPr>
          <w:rFonts w:ascii="Calibri" w:hAnsi="Calibri"/>
        </w:rPr>
        <w:t>Mutations use Idempotency-Key where retryable and ETag/If-Match optimistic concurrency for user/operator aggregates.</w:t>
      </w:r>
    </w:p>
    <w:p>
      <w:pPr>
        <w:numPr>
          <w:ilvl w:val="0"/>
          <w:numId w:val="1"/>
        </w:numPr>
        <w:spacing w:after="160" w:line="280" w:lineRule="auto"/>
      </w:pPr>
      <w:r>
        <w:rPr>
          <w:rFonts w:ascii="Calibri" w:hAnsi="Calibri"/>
        </w:rPr>
        <w:t>Public accepted-data reads may use ETag and short Cache-Control; authenticated responses are private/no-store as appropriate.</w:t>
      </w:r>
    </w:p>
    <w:p>
      <w:pPr>
        <w:pStyle w:val="Heading2"/>
      </w:pPr>
      <w:r>
        <w:t>Allowlisted AI tool catalogue</w:t>
      </w:r>
    </w:p>
    <w:tbl>
      <w:tblPr>
        <w:tblStyle w:val="TableGrid"/>
        <w:tblW w:type="dxa" w:w="9360"/>
        <w:jc w:val="left"/>
        <w:tblLayout w:type="fixed"/>
        <w:tblLook w:firstColumn="1" w:firstRow="1" w:lastColumn="0" w:lastRow="0" w:noHBand="0" w:noVBand="1" w:val="04A0"/>
        <w:tblInd w:w="120" w:type="dxa"/>
      </w:tblPr>
      <w:tblGrid>
        <w:gridCol w:w="3000"/>
        <w:gridCol w:w="900"/>
        <w:gridCol w:w="3200"/>
        <w:gridCol w:w="2260"/>
      </w:tblGrid>
      <w:tr>
        <w:trPr>
          <w:tblHeader w:val="true"/>
          <w:cantSplit/>
        </w:trPr>
        <w:tc>
          <w:tcPr>
            <w:tcW w:type="dxa" w:w="30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Tool</w:t>
            </w:r>
          </w:p>
        </w:tc>
        <w:tc>
          <w:tcPr>
            <w:tcW w:type="dxa" w:w="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Policy</w:t>
            </w:r>
          </w:p>
        </w:tc>
        <w:tc>
          <w:tcPr>
            <w:tcW w:type="dxa" w:w="32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Purpose</w:t>
            </w:r>
          </w:p>
        </w:tc>
        <w:tc>
          <w:tcPr>
            <w:tcW w:type="dxa" w:w="22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Limits</w:t>
            </w:r>
          </w:p>
        </w:tc>
      </w:tr>
      <w:tr>
        <w:trPr>
          <w:cantSplit/>
        </w:trPr>
        <w:tc>
          <w:tcPr>
            <w:tcW w:type="dxa" w:w="3000"/>
            <w:vAlign w:val="center"/>
            <w:tcMar>
              <w:top w:w="80" w:type="dxa"/>
              <w:start w:w="120" w:type="dxa"/>
              <w:bottom w:w="80" w:type="dxa"/>
              <w:end w:w="120" w:type="dxa"/>
            </w:tcMar>
          </w:tcPr>
          <w:p>
            <w:pPr>
              <w:spacing w:after="0" w:line="240" w:lineRule="auto"/>
            </w:pPr>
            <w:r>
              <w:rPr>
                <w:rFonts w:ascii="Calibri" w:hAnsi="Calibri"/>
                <w:color w:val="1F2937"/>
                <w:sz w:val="17"/>
              </w:rPr>
              <w:t>student_3.suburb.profile.read.v1</w:t>
            </w:r>
          </w:p>
        </w:tc>
        <w:tc>
          <w:tcPr>
            <w:tcW w:type="dxa" w:w="900"/>
            <w:vAlign w:val="center"/>
            <w:tcMar>
              <w:top w:w="80" w:type="dxa"/>
              <w:start w:w="120" w:type="dxa"/>
              <w:bottom w:w="80" w:type="dxa"/>
              <w:end w:w="120" w:type="dxa"/>
            </w:tcMar>
          </w:tcPr>
          <w:p>
            <w:pPr>
              <w:spacing w:after="0" w:line="240" w:lineRule="auto"/>
            </w:pPr>
            <w:r>
              <w:rPr>
                <w:rFonts w:ascii="Calibri" w:hAnsi="Calibri"/>
                <w:color w:val="1F2937"/>
                <w:sz w:val="17"/>
              </w:rPr>
              <w:t>read</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7"/>
              </w:rPr>
              <w:t>Retrieve one accepted suburb profile with evidence</w:t>
            </w:r>
          </w:p>
        </w:tc>
        <w:tc>
          <w:tcPr>
            <w:tcW w:type="dxa" w:w="2260"/>
            <w:vAlign w:val="center"/>
            <w:tcMar>
              <w:top w:w="80" w:type="dxa"/>
              <w:start w:w="120" w:type="dxa"/>
              <w:bottom w:w="80" w:type="dxa"/>
              <w:end w:w="120" w:type="dxa"/>
            </w:tcMar>
          </w:tcPr>
          <w:p>
            <w:pPr>
              <w:spacing w:after="0" w:line="240" w:lineRule="auto"/>
            </w:pPr>
            <w:r>
              <w:rPr>
                <w:rFonts w:ascii="Calibri" w:hAnsi="Calibri"/>
                <w:color w:val="1F2937"/>
                <w:sz w:val="17"/>
              </w:rPr>
              <w:t>1 suburb/call; bounded fields</w:t>
            </w:r>
          </w:p>
        </w:tc>
      </w:tr>
      <w:tr>
        <w:trPr>
          <w:cantSplit/>
        </w:trPr>
        <w:tc>
          <w:tcPr>
            <w:tcW w:type="dxa" w:w="3000"/>
            <w:vAlign w:val="center"/>
            <w:shd w:fill="F8FAFC"/>
            <w:tcMar>
              <w:top w:w="80" w:type="dxa"/>
              <w:start w:w="120" w:type="dxa"/>
              <w:bottom w:w="80" w:type="dxa"/>
              <w:end w:w="120" w:type="dxa"/>
            </w:tcMar>
          </w:tcPr>
          <w:p>
            <w:pPr>
              <w:spacing w:after="0" w:line="240" w:lineRule="auto"/>
            </w:pPr>
            <w:r>
              <w:rPr>
                <w:rFonts w:ascii="Calibri" w:hAnsi="Calibri"/>
                <w:color w:val="1F2937"/>
                <w:sz w:val="17"/>
              </w:rPr>
              <w:t>student_3.suburb.indicators.read.v1</w:t>
            </w:r>
          </w:p>
        </w:tc>
        <w:tc>
          <w:tcPr>
            <w:tcW w:type="dxa" w:w="900"/>
            <w:vAlign w:val="center"/>
            <w:shd w:fill="F8FAFC"/>
            <w:tcMar>
              <w:top w:w="80" w:type="dxa"/>
              <w:start w:w="120" w:type="dxa"/>
              <w:bottom w:w="80" w:type="dxa"/>
              <w:end w:w="120" w:type="dxa"/>
            </w:tcMar>
          </w:tcPr>
          <w:p>
            <w:pPr>
              <w:spacing w:after="0" w:line="240" w:lineRule="auto"/>
            </w:pPr>
            <w:r>
              <w:rPr>
                <w:rFonts w:ascii="Calibri" w:hAnsi="Calibri"/>
                <w:color w:val="1F2937"/>
                <w:sz w:val="17"/>
              </w:rPr>
              <w:t>read</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7"/>
              </w:rPr>
              <w:t>Retrieve named metrics for a period/method</w:t>
            </w:r>
          </w:p>
        </w:tc>
        <w:tc>
          <w:tcPr>
            <w:tcW w:type="dxa" w:w="2260"/>
            <w:vAlign w:val="center"/>
            <w:shd w:fill="F8FAFC"/>
            <w:tcMar>
              <w:top w:w="80" w:type="dxa"/>
              <w:start w:w="120" w:type="dxa"/>
              <w:bottom w:w="80" w:type="dxa"/>
              <w:end w:w="120" w:type="dxa"/>
            </w:tcMar>
          </w:tcPr>
          <w:p>
            <w:pPr>
              <w:spacing w:after="0" w:line="240" w:lineRule="auto"/>
            </w:pPr>
            <w:r>
              <w:rPr>
                <w:rFonts w:ascii="Calibri" w:hAnsi="Calibri"/>
                <w:color w:val="1F2937"/>
                <w:sz w:val="17"/>
              </w:rPr>
              <w:t>Whitelisted metric codes; max 4 suburbs</w:t>
            </w:r>
          </w:p>
        </w:tc>
      </w:tr>
      <w:tr>
        <w:trPr>
          <w:cantSplit/>
        </w:trPr>
        <w:tc>
          <w:tcPr>
            <w:tcW w:type="dxa" w:w="3000"/>
            <w:vAlign w:val="center"/>
            <w:tcMar>
              <w:top w:w="80" w:type="dxa"/>
              <w:start w:w="120" w:type="dxa"/>
              <w:bottom w:w="80" w:type="dxa"/>
              <w:end w:w="120" w:type="dxa"/>
            </w:tcMar>
          </w:tcPr>
          <w:p>
            <w:pPr>
              <w:spacing w:after="0" w:line="240" w:lineRule="auto"/>
            </w:pPr>
            <w:r>
              <w:rPr>
                <w:rFonts w:ascii="Calibri" w:hAnsi="Calibri"/>
                <w:color w:val="1F2937"/>
                <w:sz w:val="17"/>
              </w:rPr>
              <w:t>student_3.suburb.crime.summary.read.v1</w:t>
            </w:r>
          </w:p>
        </w:tc>
        <w:tc>
          <w:tcPr>
            <w:tcW w:type="dxa" w:w="900"/>
            <w:vAlign w:val="center"/>
            <w:tcMar>
              <w:top w:w="80" w:type="dxa"/>
              <w:start w:w="120" w:type="dxa"/>
              <w:bottom w:w="80" w:type="dxa"/>
              <w:end w:w="120" w:type="dxa"/>
            </w:tcMar>
          </w:tcPr>
          <w:p>
            <w:pPr>
              <w:spacing w:after="0" w:line="240" w:lineRule="auto"/>
            </w:pPr>
            <w:r>
              <w:rPr>
                <w:rFonts w:ascii="Calibri" w:hAnsi="Calibri"/>
                <w:color w:val="1F2937"/>
                <w:sz w:val="17"/>
              </w:rPr>
              <w:t>read</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7"/>
              </w:rPr>
              <w:t>Retrieve comparable crime summary</w:t>
            </w:r>
          </w:p>
        </w:tc>
        <w:tc>
          <w:tcPr>
            <w:tcW w:type="dxa" w:w="2260"/>
            <w:vAlign w:val="center"/>
            <w:tcMar>
              <w:top w:w="80" w:type="dxa"/>
              <w:start w:w="120" w:type="dxa"/>
              <w:bottom w:w="80" w:type="dxa"/>
              <w:end w:w="120" w:type="dxa"/>
            </w:tcMar>
          </w:tcPr>
          <w:p>
            <w:pPr>
              <w:spacing w:after="0" w:line="240" w:lineRule="auto"/>
            </w:pPr>
            <w:r>
              <w:rPr>
                <w:rFonts w:ascii="Calibri" w:hAnsi="Calibri"/>
                <w:color w:val="1F2937"/>
                <w:sz w:val="17"/>
              </w:rPr>
              <w:t>Max 5 years; approved offence groups; no raw personal data</w:t>
            </w:r>
          </w:p>
        </w:tc>
      </w:tr>
      <w:tr>
        <w:trPr>
          <w:cantSplit/>
        </w:trPr>
        <w:tc>
          <w:tcPr>
            <w:tcW w:type="dxa" w:w="3000"/>
            <w:vAlign w:val="center"/>
            <w:shd w:fill="F8FAFC"/>
            <w:tcMar>
              <w:top w:w="80" w:type="dxa"/>
              <w:start w:w="120" w:type="dxa"/>
              <w:bottom w:w="80" w:type="dxa"/>
              <w:end w:w="120" w:type="dxa"/>
            </w:tcMar>
          </w:tcPr>
          <w:p>
            <w:pPr>
              <w:spacing w:after="0" w:line="240" w:lineRule="auto"/>
            </w:pPr>
            <w:r>
              <w:rPr>
                <w:rFonts w:ascii="Calibri" w:hAnsi="Calibri"/>
                <w:color w:val="1F2937"/>
                <w:sz w:val="17"/>
              </w:rPr>
              <w:t>student_3.suburb.amenities.summary.read.v1</w:t>
            </w:r>
          </w:p>
        </w:tc>
        <w:tc>
          <w:tcPr>
            <w:tcW w:type="dxa" w:w="900"/>
            <w:vAlign w:val="center"/>
            <w:shd w:fill="F8FAFC"/>
            <w:tcMar>
              <w:top w:w="80" w:type="dxa"/>
              <w:start w:w="120" w:type="dxa"/>
              <w:bottom w:w="80" w:type="dxa"/>
              <w:end w:w="120" w:type="dxa"/>
            </w:tcMar>
          </w:tcPr>
          <w:p>
            <w:pPr>
              <w:spacing w:after="0" w:line="240" w:lineRule="auto"/>
            </w:pPr>
            <w:r>
              <w:rPr>
                <w:rFonts w:ascii="Calibri" w:hAnsi="Calibri"/>
                <w:color w:val="1F2937"/>
                <w:sz w:val="17"/>
              </w:rPr>
              <w:t>read</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7"/>
              </w:rPr>
              <w:t>Retrieve category summaries, not an unbounded point dump</w:t>
            </w:r>
          </w:p>
        </w:tc>
        <w:tc>
          <w:tcPr>
            <w:tcW w:type="dxa" w:w="2260"/>
            <w:vAlign w:val="center"/>
            <w:shd w:fill="F8FAFC"/>
            <w:tcMar>
              <w:top w:w="80" w:type="dxa"/>
              <w:start w:w="120" w:type="dxa"/>
              <w:bottom w:w="80" w:type="dxa"/>
              <w:end w:w="120" w:type="dxa"/>
            </w:tcMar>
          </w:tcPr>
          <w:p>
            <w:pPr>
              <w:spacing w:after="0" w:line="240" w:lineRule="auto"/>
            </w:pPr>
            <w:r>
              <w:rPr>
                <w:rFonts w:ascii="Calibri" w:hAnsi="Calibri"/>
                <w:color w:val="1F2937"/>
                <w:sz w:val="17"/>
              </w:rPr>
              <w:t>Approved categories; aggregate only</w:t>
            </w:r>
          </w:p>
        </w:tc>
      </w:tr>
      <w:tr>
        <w:trPr>
          <w:cantSplit/>
        </w:trPr>
        <w:tc>
          <w:tcPr>
            <w:tcW w:type="dxa" w:w="3000"/>
            <w:vAlign w:val="center"/>
            <w:tcMar>
              <w:top w:w="80" w:type="dxa"/>
              <w:start w:w="120" w:type="dxa"/>
              <w:bottom w:w="80" w:type="dxa"/>
              <w:end w:w="120" w:type="dxa"/>
            </w:tcMar>
          </w:tcPr>
          <w:p>
            <w:pPr>
              <w:spacing w:after="0" w:line="240" w:lineRule="auto"/>
            </w:pPr>
            <w:r>
              <w:rPr>
                <w:rFonts w:ascii="Calibri" w:hAnsi="Calibri"/>
                <w:color w:val="1F2937"/>
                <w:sz w:val="17"/>
              </w:rPr>
              <w:t>student_3.suburb.compare.read.v1</w:t>
            </w:r>
          </w:p>
        </w:tc>
        <w:tc>
          <w:tcPr>
            <w:tcW w:type="dxa" w:w="900"/>
            <w:vAlign w:val="center"/>
            <w:tcMar>
              <w:top w:w="80" w:type="dxa"/>
              <w:start w:w="120" w:type="dxa"/>
              <w:bottom w:w="80" w:type="dxa"/>
              <w:end w:w="120" w:type="dxa"/>
            </w:tcMar>
          </w:tcPr>
          <w:p>
            <w:pPr>
              <w:spacing w:after="0" w:line="240" w:lineRule="auto"/>
            </w:pPr>
            <w:r>
              <w:rPr>
                <w:rFonts w:ascii="Calibri" w:hAnsi="Calibri"/>
                <w:color w:val="1F2937"/>
                <w:sz w:val="17"/>
              </w:rPr>
              <w:t>read</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7"/>
              </w:rPr>
              <w:t>Return deterministic aligned comparison</w:t>
            </w:r>
          </w:p>
        </w:tc>
        <w:tc>
          <w:tcPr>
            <w:tcW w:type="dxa" w:w="2260"/>
            <w:vAlign w:val="center"/>
            <w:tcMar>
              <w:top w:w="80" w:type="dxa"/>
              <w:start w:w="120" w:type="dxa"/>
              <w:bottom w:w="80" w:type="dxa"/>
              <w:end w:w="120" w:type="dxa"/>
            </w:tcMar>
          </w:tcPr>
          <w:p>
            <w:pPr>
              <w:spacing w:after="0" w:line="240" w:lineRule="auto"/>
            </w:pPr>
            <w:r>
              <w:rPr>
                <w:rFonts w:ascii="Calibri" w:hAnsi="Calibri"/>
                <w:color w:val="1F2937"/>
                <w:sz w:val="17"/>
              </w:rPr>
              <w:t>2-4 unique suburbs; same period/method</w:t>
            </w:r>
          </w:p>
        </w:tc>
      </w:tr>
      <w:tr>
        <w:trPr>
          <w:cantSplit/>
        </w:trPr>
        <w:tc>
          <w:tcPr>
            <w:tcW w:type="dxa" w:w="3000"/>
            <w:vAlign w:val="center"/>
            <w:shd w:fill="F8FAFC"/>
            <w:tcMar>
              <w:top w:w="80" w:type="dxa"/>
              <w:start w:w="120" w:type="dxa"/>
              <w:bottom w:w="80" w:type="dxa"/>
              <w:end w:w="120" w:type="dxa"/>
            </w:tcMar>
          </w:tcPr>
          <w:p>
            <w:pPr>
              <w:spacing w:after="0" w:line="240" w:lineRule="auto"/>
            </w:pPr>
            <w:r>
              <w:rPr>
                <w:rFonts w:ascii="Calibri" w:hAnsi="Calibri"/>
                <w:color w:val="1F2937"/>
                <w:sz w:val="17"/>
              </w:rPr>
              <w:t>student_3.suburb.sources.read.v1</w:t>
            </w:r>
          </w:p>
        </w:tc>
        <w:tc>
          <w:tcPr>
            <w:tcW w:type="dxa" w:w="900"/>
            <w:vAlign w:val="center"/>
            <w:shd w:fill="F8FAFC"/>
            <w:tcMar>
              <w:top w:w="80" w:type="dxa"/>
              <w:start w:w="120" w:type="dxa"/>
              <w:bottom w:w="80" w:type="dxa"/>
              <w:end w:w="120" w:type="dxa"/>
            </w:tcMar>
          </w:tcPr>
          <w:p>
            <w:pPr>
              <w:spacing w:after="0" w:line="240" w:lineRule="auto"/>
            </w:pPr>
            <w:r>
              <w:rPr>
                <w:rFonts w:ascii="Calibri" w:hAnsi="Calibri"/>
                <w:color w:val="1F2937"/>
                <w:sz w:val="17"/>
              </w:rPr>
              <w:t>read</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7"/>
              </w:rPr>
              <w:t>Retrieve source, freshness, coverage, and limitations</w:t>
            </w:r>
          </w:p>
        </w:tc>
        <w:tc>
          <w:tcPr>
            <w:tcW w:type="dxa" w:w="2260"/>
            <w:vAlign w:val="center"/>
            <w:shd w:fill="F8FAFC"/>
            <w:tcMar>
              <w:top w:w="80" w:type="dxa"/>
              <w:start w:w="120" w:type="dxa"/>
              <w:bottom w:w="80" w:type="dxa"/>
              <w:end w:w="120" w:type="dxa"/>
            </w:tcMar>
          </w:tcPr>
          <w:p>
            <w:pPr>
              <w:spacing w:after="0" w:line="240" w:lineRule="auto"/>
            </w:pPr>
            <w:r>
              <w:rPr>
                <w:rFonts w:ascii="Calibri" w:hAnsi="Calibri"/>
                <w:color w:val="1F2937"/>
                <w:sz w:val="17"/>
              </w:rPr>
              <w:t>Only evidence linked to selected output</w:t>
            </w:r>
          </w:p>
        </w:tc>
      </w:tr>
    </w:tbl>
    <w:p>
      <w:pPr>
        <w:spacing w:after="40"/>
      </w:pPr>
    </w:p>
    <w:p>
      <w:pPr>
        <w:keepLines/>
        <w:spacing w:before="120" w:after="200" w:line="264" w:lineRule="auto"/>
        <w:ind w:left="173" w:right="86"/>
        <w:shd w:fill="E8EEF5"/>
        <w:pBdr>
          <w:left w:val="single" w:sz="18" w:space="7" w:color="2E74B5"/>
        </w:pBdr>
      </w:pPr>
      <w:r>
        <w:rPr>
          <w:rFonts w:ascii="Calibri" w:hAnsi="Calibri"/>
          <w:b/>
          <w:color w:val="2E74B5"/>
        </w:rPr>
        <w:t xml:space="preserve">Agentic workflow: </w:t>
      </w:r>
      <w:r>
        <w:rPr>
          <w:rFonts w:ascii="Calibri" w:hAnsi="Calibri"/>
          <w:color w:val="1F2937"/>
        </w:rPr>
        <w:t>Plan selects a read-only evidence sequence. Act calls approved Feature 3 tools. Observe checks completeness, freshness, match confidence, and conflicting periods. Adapt narrows or qualifies the response when evidence is missing. The final answer cites evidence IDs, states limitations, and never changes saved lists or source data.</w:t>
      </w:r>
    </w:p>
    <w:p>
      <w:pPr>
        <w:pStyle w:val="Heading1"/>
      </w:pPr>
      <w:r>
        <w:t>Database layout</w:t>
      </w:r>
    </w:p>
    <w:p>
      <w:pPr>
        <w:spacing w:before="80" w:after="0"/>
        <w:jc w:val="center"/>
      </w:pPr>
      <w:r>
        <w:drawing>
          <wp:inline xmlns:a="http://schemas.openxmlformats.org/drawingml/2006/main" xmlns:pic="http://schemas.openxmlformats.org/drawingml/2006/picture">
            <wp:extent cx="5760720" cy="3796838"/>
            <wp:docPr id="2" name="Picture 2" title="Figure 2. Proposed Feature 3 logical data model" descr="Entity relationship model connecting suburb identity to indicators, amenities, overview, LGA membership, user lists and saved suburbs, with source-release provenance."/>
            <wp:cNvGraphicFramePr>
              <a:graphicFrameLocks noChangeAspect="1"/>
            </wp:cNvGraphicFramePr>
            <a:graphic>
              <a:graphicData uri="http://schemas.openxmlformats.org/drawingml/2006/picture">
                <pic:pic>
                  <pic:nvPicPr>
                    <pic:cNvPr id="0" name="feature3_erd.png"/>
                    <pic:cNvPicPr/>
                  </pic:nvPicPr>
                  <pic:blipFill>
                    <a:blip r:embed="rId12"/>
                    <a:stretch>
                      <a:fillRect/>
                    </a:stretch>
                  </pic:blipFill>
                  <pic:spPr>
                    <a:xfrm>
                      <a:off x="0" y="0"/>
                      <a:ext cx="5760720" cy="3796838"/>
                    </a:xfrm>
                    <a:prstGeom prst="rect"/>
                  </pic:spPr>
                </pic:pic>
              </a:graphicData>
            </a:graphic>
          </wp:inline>
        </w:drawing>
      </w:r>
    </w:p>
    <w:p>
      <w:pPr>
        <w:pStyle w:val="Caption"/>
        <w:spacing w:before="80" w:after="200"/>
        <w:jc w:val="center"/>
      </w:pPr>
      <w:r>
        <w:rPr>
          <w:rFonts w:ascii="Calibri" w:hAnsi="Calibri"/>
          <w:i/>
          <w:color w:val="667085"/>
          <w:sz w:val="18"/>
        </w:rPr>
        <w:t>Figure 2. Proposed Feature 3 logical data model</w:t>
      </w:r>
    </w:p>
    <w:p>
      <w:r>
        <w:rPr>
          <w:rFonts w:ascii="Calibri" w:hAnsi="Calibri"/>
        </w:rPr>
        <w:t>The five named tables from the approved scope remain first-class. Supporting tables resolve real cardinality and provenance needs without moving domain logic into shared packages. The database API owns migrations, seeds, indexes, and the exclusive SQLite volume.</w:t>
      </w:r>
    </w:p>
    <w:p>
      <w:pPr>
        <w:pStyle w:val="Heading2"/>
      </w:pPr>
      <w:r>
        <w:t>Required tables</w:t>
      </w:r>
    </w:p>
    <w:tbl>
      <w:tblPr>
        <w:tblStyle w:val="TableGrid"/>
        <w:tblW w:type="dxa" w:w="9360"/>
        <w:jc w:val="left"/>
        <w:tblLayout w:type="fixed"/>
        <w:tblLook w:firstColumn="1" w:firstRow="1" w:lastColumn="0" w:lastRow="0" w:noHBand="0" w:noVBand="1" w:val="04A0"/>
        <w:tblInd w:w="120" w:type="dxa"/>
      </w:tblPr>
      <w:tblGrid>
        <w:gridCol w:w="1450"/>
        <w:gridCol w:w="1900"/>
        <w:gridCol w:w="3540"/>
        <w:gridCol w:w="2470"/>
      </w:tblGrid>
      <w:tr>
        <w:trPr>
          <w:tblHeader w:val="true"/>
          <w:cantSplit/>
        </w:trPr>
        <w:tc>
          <w:tcPr>
            <w:tcW w:type="dxa" w:w="145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Table</w:t>
            </w:r>
          </w:p>
        </w:tc>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Purpose</w:t>
            </w:r>
          </w:p>
        </w:tc>
        <w:tc>
          <w:tcPr>
            <w:tcW w:type="dxa" w:w="354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Key columns</w:t>
            </w:r>
          </w:p>
        </w:tc>
        <w:tc>
          <w:tcPr>
            <w:tcW w:type="dxa" w:w="247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Constraints / indexes</w:t>
            </w:r>
          </w:p>
        </w:tc>
      </w:tr>
      <w:tr>
        <w:trPr>
          <w:cantSplit/>
        </w:trPr>
        <w:tc>
          <w:tcPr>
            <w:tcW w:type="dxa" w:w="1450"/>
            <w:vAlign w:val="center"/>
            <w:tcMar>
              <w:top w:w="80" w:type="dxa"/>
              <w:start w:w="120" w:type="dxa"/>
              <w:bottom w:w="80" w:type="dxa"/>
              <w:end w:w="120" w:type="dxa"/>
            </w:tcMar>
          </w:tcPr>
          <w:p>
            <w:pPr>
              <w:spacing w:after="0" w:line="240" w:lineRule="auto"/>
            </w:pPr>
            <w:r>
              <w:rPr>
                <w:rFonts w:ascii="Calibri" w:hAnsi="Calibri"/>
                <w:color w:val="1F2937"/>
                <w:sz w:val="16"/>
              </w:rPr>
              <w:t>suburb_info</w:t>
            </w:r>
          </w:p>
        </w:tc>
        <w:tc>
          <w:tcPr>
            <w:tcW w:type="dxa" w:w="1900"/>
            <w:vAlign w:val="center"/>
            <w:tcMar>
              <w:top w:w="80" w:type="dxa"/>
              <w:start w:w="120" w:type="dxa"/>
              <w:bottom w:w="80" w:type="dxa"/>
              <w:end w:w="120" w:type="dxa"/>
            </w:tcMar>
          </w:tcPr>
          <w:p>
            <w:pPr>
              <w:spacing w:after="0" w:line="240" w:lineRule="auto"/>
            </w:pPr>
            <w:r>
              <w:rPr>
                <w:rFonts w:ascii="Calibri" w:hAnsi="Calibri"/>
                <w:color w:val="1F2937"/>
                <w:sz w:val="16"/>
              </w:rPr>
              <w:t>Canonical product identity and map projection</w:t>
            </w:r>
          </w:p>
        </w:tc>
        <w:tc>
          <w:tcPr>
            <w:tcW w:type="dxa" w:w="3540"/>
            <w:vAlign w:val="center"/>
            <w:tcMar>
              <w:top w:w="80" w:type="dxa"/>
              <w:start w:w="120" w:type="dxa"/>
              <w:bottom w:w="80" w:type="dxa"/>
              <w:end w:w="120" w:type="dxa"/>
            </w:tcMar>
          </w:tcPr>
          <w:p>
            <w:pPr>
              <w:spacing w:after="0" w:line="240" w:lineRule="auto"/>
            </w:pPr>
            <w:r>
              <w:rPr>
                <w:rFonts w:ascii="Calibri" w:hAnsi="Calibri"/>
                <w:color w:val="1F2937"/>
                <w:sz w:val="16"/>
              </w:rPr>
              <w:t>suburb_id; nsw_suburb_code; name; state; primary_postcode; primary_lga_code; centroid_lat/lon; bbox; boundary_geojson; status; row_version</w:t>
            </w:r>
          </w:p>
        </w:tc>
        <w:tc>
          <w:tcPr>
            <w:tcW w:type="dxa" w:w="2470"/>
            <w:vAlign w:val="center"/>
            <w:tcMar>
              <w:top w:w="80" w:type="dxa"/>
              <w:start w:w="120" w:type="dxa"/>
              <w:bottom w:w="80" w:type="dxa"/>
              <w:end w:w="120" w:type="dxa"/>
            </w:tcMar>
          </w:tcPr>
          <w:p>
            <w:pPr>
              <w:spacing w:after="0" w:line="240" w:lineRule="auto"/>
            </w:pPr>
            <w:r>
              <w:rPr>
                <w:rFonts w:ascii="Calibri" w:hAnsi="Calibri"/>
                <w:color w:val="1F2937"/>
                <w:sz w:val="16"/>
              </w:rPr>
              <w:t>UNIQUE(state, nsw_suburb_code); search index on normalised name/postcode/LGA; lat/lon and bbox checks; active/retired status</w:t>
            </w:r>
          </w:p>
        </w:tc>
      </w:tr>
      <w:tr>
        <w:trPr>
          <w:cantSplit/>
        </w:trPr>
        <w:tc>
          <w:tcPr>
            <w:tcW w:type="dxa" w:w="1450"/>
            <w:vAlign w:val="center"/>
            <w:shd w:fill="F8FAFC"/>
            <w:tcMar>
              <w:top w:w="80" w:type="dxa"/>
              <w:start w:w="120" w:type="dxa"/>
              <w:bottom w:w="80" w:type="dxa"/>
              <w:end w:w="120" w:type="dxa"/>
            </w:tcMar>
          </w:tcPr>
          <w:p>
            <w:pPr>
              <w:spacing w:after="0" w:line="240" w:lineRule="auto"/>
            </w:pPr>
            <w:r>
              <w:rPr>
                <w:rFonts w:ascii="Calibri" w:hAnsi="Calibri"/>
                <w:color w:val="1F2937"/>
                <w:sz w:val="16"/>
              </w:rPr>
              <w:t>suburb_indicators</w:t>
            </w:r>
          </w:p>
        </w:tc>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6"/>
              </w:rPr>
              <w:t>Long-form raw/derived metric observations, including crime aggregates</w:t>
            </w:r>
          </w:p>
        </w:tc>
        <w:tc>
          <w:tcPr>
            <w:tcW w:type="dxa" w:w="3540"/>
            <w:vAlign w:val="center"/>
            <w:shd w:fill="F8FAFC"/>
            <w:tcMar>
              <w:top w:w="80" w:type="dxa"/>
              <w:start w:w="120" w:type="dxa"/>
              <w:bottom w:w="80" w:type="dxa"/>
              <w:end w:w="120" w:type="dxa"/>
            </w:tcMar>
          </w:tcPr>
          <w:p>
            <w:pPr>
              <w:spacing w:after="0" w:line="240" w:lineRule="auto"/>
            </w:pPr>
            <w:r>
              <w:rPr>
                <w:rFonts w:ascii="Calibri" w:hAnsi="Calibri"/>
                <w:color w:val="1F2937"/>
                <w:sz w:val="16"/>
              </w:rPr>
              <w:t>indicator_id; suburb_id; metric_code; value_numeric/text; unit; period_start/end; cohort_key; direction; method_version; source_release_id; coverage/freshness</w:t>
            </w:r>
          </w:p>
        </w:tc>
        <w:tc>
          <w:tcPr>
            <w:tcW w:type="dxa" w:w="2470"/>
            <w:vAlign w:val="center"/>
            <w:shd w:fill="F8FAFC"/>
            <w:tcMar>
              <w:top w:w="80" w:type="dxa"/>
              <w:start w:w="120" w:type="dxa"/>
              <w:bottom w:w="80" w:type="dxa"/>
              <w:end w:w="120" w:type="dxa"/>
            </w:tcMar>
          </w:tcPr>
          <w:p>
            <w:pPr>
              <w:spacing w:after="0" w:line="240" w:lineRule="auto"/>
            </w:pPr>
            <w:r>
              <w:rPr>
                <w:rFonts w:ascii="Calibri" w:hAnsi="Calibri"/>
                <w:color w:val="1F2937"/>
                <w:sz w:val="16"/>
              </w:rPr>
              <w:t>UNIQUE(suburb_id, metric_code, period_start, period_end, method_version, source_release_id); value/unit validation; period order</w:t>
            </w:r>
          </w:p>
        </w:tc>
      </w:tr>
      <w:tr>
        <w:trPr>
          <w:cantSplit/>
        </w:trPr>
        <w:tc>
          <w:tcPr>
            <w:tcW w:type="dxa" w:w="1450"/>
            <w:vAlign w:val="center"/>
            <w:tcMar>
              <w:top w:w="80" w:type="dxa"/>
              <w:start w:w="120" w:type="dxa"/>
              <w:bottom w:w="80" w:type="dxa"/>
              <w:end w:w="120" w:type="dxa"/>
            </w:tcMar>
          </w:tcPr>
          <w:p>
            <w:pPr>
              <w:spacing w:after="0" w:line="240" w:lineRule="auto"/>
            </w:pPr>
            <w:r>
              <w:rPr>
                <w:rFonts w:ascii="Calibri" w:hAnsi="Calibri"/>
                <w:color w:val="1F2937"/>
                <w:sz w:val="16"/>
              </w:rPr>
              <w:t>suburb_amenity</w:t>
            </w:r>
          </w:p>
        </w:tc>
        <w:tc>
          <w:tcPr>
            <w:tcW w:type="dxa" w:w="1900"/>
            <w:vAlign w:val="center"/>
            <w:tcMar>
              <w:top w:w="80" w:type="dxa"/>
              <w:start w:w="120" w:type="dxa"/>
              <w:bottom w:w="80" w:type="dxa"/>
              <w:end w:w="120" w:type="dxa"/>
            </w:tcMar>
          </w:tcPr>
          <w:p>
            <w:pPr>
              <w:spacing w:after="0" w:line="240" w:lineRule="auto"/>
            </w:pPr>
            <w:r>
              <w:rPr>
                <w:rFonts w:ascii="Calibri" w:hAnsi="Calibri"/>
                <w:color w:val="1F2937"/>
                <w:sz w:val="16"/>
              </w:rPr>
              <w:t>Source-attributed amenity/service points assigned to a suburb</w:t>
            </w:r>
          </w:p>
        </w:tc>
        <w:tc>
          <w:tcPr>
            <w:tcW w:type="dxa" w:w="3540"/>
            <w:vAlign w:val="center"/>
            <w:tcMar>
              <w:top w:w="80" w:type="dxa"/>
              <w:start w:w="120" w:type="dxa"/>
              <w:bottom w:w="80" w:type="dxa"/>
              <w:end w:w="120" w:type="dxa"/>
            </w:tcMar>
          </w:tcPr>
          <w:p>
            <w:pPr>
              <w:spacing w:after="0" w:line="240" w:lineRule="auto"/>
            </w:pPr>
            <w:r>
              <w:rPr>
                <w:rFonts w:ascii="Calibri" w:hAnsi="Calibri"/>
                <w:color w:val="1F2937"/>
                <w:sz w:val="16"/>
              </w:rPr>
              <w:t>amenity_id; suburb_id; source_record_id; category; subtype; name; latitude; longitude; address; source_release_id; match_method/confidence</w:t>
            </w:r>
          </w:p>
        </w:tc>
        <w:tc>
          <w:tcPr>
            <w:tcW w:type="dxa" w:w="2470"/>
            <w:vAlign w:val="center"/>
            <w:tcMar>
              <w:top w:w="80" w:type="dxa"/>
              <w:start w:w="120" w:type="dxa"/>
              <w:bottom w:w="80" w:type="dxa"/>
              <w:end w:w="120" w:type="dxa"/>
            </w:tcMar>
          </w:tcPr>
          <w:p>
            <w:pPr>
              <w:spacing w:after="0" w:line="240" w:lineRule="auto"/>
            </w:pPr>
            <w:r>
              <w:rPr>
                <w:rFonts w:ascii="Calibri" w:hAnsi="Calibri"/>
                <w:color w:val="1F2937"/>
                <w:sz w:val="16"/>
              </w:rPr>
              <w:t>UNIQUE(source_release_id, source_record_id); category whitelist; coordinate checks; indexes on suburb/category and lat/lon</w:t>
            </w:r>
          </w:p>
        </w:tc>
      </w:tr>
      <w:tr>
        <w:trPr>
          <w:cantSplit/>
        </w:trPr>
        <w:tc>
          <w:tcPr>
            <w:tcW w:type="dxa" w:w="1450"/>
            <w:vAlign w:val="center"/>
            <w:shd w:fill="F8FAFC"/>
            <w:tcMar>
              <w:top w:w="80" w:type="dxa"/>
              <w:start w:w="120" w:type="dxa"/>
              <w:bottom w:w="80" w:type="dxa"/>
              <w:end w:w="120" w:type="dxa"/>
            </w:tcMar>
          </w:tcPr>
          <w:p>
            <w:pPr>
              <w:spacing w:after="0" w:line="240" w:lineRule="auto"/>
            </w:pPr>
            <w:r>
              <w:rPr>
                <w:rFonts w:ascii="Calibri" w:hAnsi="Calibri"/>
                <w:color w:val="1F2937"/>
                <w:sz w:val="16"/>
              </w:rPr>
              <w:t>suburb_overview</w:t>
            </w:r>
          </w:p>
        </w:tc>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6"/>
              </w:rPr>
              <w:t>One current, concise overview projection per suburb</w:t>
            </w:r>
          </w:p>
        </w:tc>
        <w:tc>
          <w:tcPr>
            <w:tcW w:type="dxa" w:w="3540"/>
            <w:vAlign w:val="center"/>
            <w:shd w:fill="F8FAFC"/>
            <w:tcMar>
              <w:top w:w="80" w:type="dxa"/>
              <w:start w:w="120" w:type="dxa"/>
              <w:bottom w:w="80" w:type="dxa"/>
              <w:end w:w="120" w:type="dxa"/>
            </w:tcMar>
          </w:tcPr>
          <w:p>
            <w:pPr>
              <w:spacing w:after="0" w:line="240" w:lineRule="auto"/>
            </w:pPr>
            <w:r>
              <w:rPr>
                <w:rFonts w:ascii="Calibri" w:hAnsi="Calibri"/>
                <w:color w:val="1F2937"/>
                <w:sz w:val="16"/>
              </w:rPr>
              <w:t>suburb_id; short_description; population; census_year; median_age; household_summary_json; attraction_summary; source_release_id; coverage/freshness; updated_at</w:t>
            </w:r>
          </w:p>
        </w:tc>
        <w:tc>
          <w:tcPr>
            <w:tcW w:type="dxa" w:w="2470"/>
            <w:vAlign w:val="center"/>
            <w:shd w:fill="F8FAFC"/>
            <w:tcMar>
              <w:top w:w="80" w:type="dxa"/>
              <w:start w:w="120" w:type="dxa"/>
              <w:bottom w:w="80" w:type="dxa"/>
              <w:end w:w="120" w:type="dxa"/>
            </w:tcMar>
          </w:tcPr>
          <w:p>
            <w:pPr>
              <w:spacing w:after="0" w:line="240" w:lineRule="auto"/>
            </w:pPr>
            <w:r>
              <w:rPr>
                <w:rFonts w:ascii="Calibri" w:hAnsi="Calibri"/>
                <w:color w:val="1F2937"/>
                <w:sz w:val="16"/>
              </w:rPr>
              <w:t>PK/FK suburb_id; descriptions are curated/templated, not uncited model output; JSON schema validated</w:t>
            </w:r>
          </w:p>
        </w:tc>
      </w:tr>
      <w:tr>
        <w:trPr>
          <w:cantSplit/>
        </w:trPr>
        <w:tc>
          <w:tcPr>
            <w:tcW w:type="dxa" w:w="1450"/>
            <w:vAlign w:val="center"/>
            <w:tcMar>
              <w:top w:w="80" w:type="dxa"/>
              <w:start w:w="120" w:type="dxa"/>
              <w:bottom w:w="80" w:type="dxa"/>
              <w:end w:w="120" w:type="dxa"/>
            </w:tcMar>
          </w:tcPr>
          <w:p>
            <w:pPr>
              <w:spacing w:after="0" w:line="240" w:lineRule="auto"/>
            </w:pPr>
            <w:r>
              <w:rPr>
                <w:rFonts w:ascii="Calibri" w:hAnsi="Calibri"/>
                <w:color w:val="1F2937"/>
                <w:sz w:val="16"/>
              </w:rPr>
              <w:t>user_suburbs</w:t>
            </w:r>
          </w:p>
        </w:tc>
        <w:tc>
          <w:tcPr>
            <w:tcW w:type="dxa" w:w="1900"/>
            <w:vAlign w:val="center"/>
            <w:tcMar>
              <w:top w:w="80" w:type="dxa"/>
              <w:start w:w="120" w:type="dxa"/>
              <w:bottom w:w="80" w:type="dxa"/>
              <w:end w:w="120" w:type="dxa"/>
            </w:tcMar>
          </w:tcPr>
          <w:p>
            <w:pPr>
              <w:spacing w:after="0" w:line="240" w:lineRule="auto"/>
            </w:pPr>
            <w:r>
              <w:rPr>
                <w:rFonts w:ascii="Calibri" w:hAnsi="Calibri"/>
                <w:color w:val="1F2937"/>
                <w:sz w:val="16"/>
              </w:rPr>
              <w:t>Owned saved/favourite membership and notes</w:t>
            </w:r>
          </w:p>
        </w:tc>
        <w:tc>
          <w:tcPr>
            <w:tcW w:type="dxa" w:w="3540"/>
            <w:vAlign w:val="center"/>
            <w:tcMar>
              <w:top w:w="80" w:type="dxa"/>
              <w:start w:w="120" w:type="dxa"/>
              <w:bottom w:w="80" w:type="dxa"/>
              <w:end w:w="120" w:type="dxa"/>
            </w:tcMar>
          </w:tcPr>
          <w:p>
            <w:pPr>
              <w:spacing w:after="0" w:line="240" w:lineRule="auto"/>
            </w:pPr>
            <w:r>
              <w:rPr>
                <w:rFonts w:ascii="Calibri" w:hAnsi="Calibri"/>
                <w:color w:val="1F2937"/>
                <w:sz w:val="16"/>
              </w:rPr>
              <w:t>saved_suburb_id; user_subject; list_id; suburb_id; is_favourite; note; sort_order; created_at; updated_at; row_version</w:t>
            </w:r>
          </w:p>
        </w:tc>
        <w:tc>
          <w:tcPr>
            <w:tcW w:type="dxa" w:w="2470"/>
            <w:vAlign w:val="center"/>
            <w:tcMar>
              <w:top w:w="80" w:type="dxa"/>
              <w:start w:w="120" w:type="dxa"/>
              <w:bottom w:w="80" w:type="dxa"/>
              <w:end w:w="120" w:type="dxa"/>
            </w:tcMar>
          </w:tcPr>
          <w:p>
            <w:pPr>
              <w:spacing w:after="0" w:line="240" w:lineRule="auto"/>
            </w:pPr>
            <w:r>
              <w:rPr>
                <w:rFonts w:ascii="Calibri" w:hAnsi="Calibri"/>
                <w:color w:val="1F2937"/>
                <w:sz w:val="16"/>
              </w:rPr>
              <w:t>UNIQUE(list_id, suburb_id); owner/list consistency; note length; indexes on user_subject/list_id and favourites</w:t>
            </w:r>
          </w:p>
        </w:tc>
      </w:tr>
    </w:tbl>
    <w:p>
      <w:pPr>
        <w:spacing w:after="40"/>
      </w:pPr>
    </w:p>
    <w:p>
      <w:pPr>
        <w:pStyle w:val="Heading2"/>
      </w:pPr>
      <w:r>
        <w:t>Supporting tables</w:t>
      </w:r>
    </w:p>
    <w:tbl>
      <w:tblPr>
        <w:tblStyle w:val="TableGrid"/>
        <w:tblW w:type="dxa" w:w="9360"/>
        <w:jc w:val="left"/>
        <w:tblLayout w:type="fixed"/>
        <w:tblLook w:firstColumn="1" w:firstRow="1" w:lastColumn="0" w:lastRow="0" w:noHBand="0" w:noVBand="1" w:val="04A0"/>
        <w:tblInd w:w="120" w:type="dxa"/>
      </w:tblPr>
      <w:tblGrid>
        <w:gridCol w:w="1500"/>
        <w:gridCol w:w="2100"/>
        <w:gridCol w:w="3200"/>
        <w:gridCol w:w="2560"/>
      </w:tblGrid>
      <w:tr>
        <w:trPr>
          <w:tblHeader w:val="true"/>
          <w:cantSplit/>
        </w:trPr>
        <w:tc>
          <w:tcPr>
            <w:tcW w:type="dxa" w:w="15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Table</w:t>
            </w:r>
          </w:p>
        </w:tc>
        <w:tc>
          <w:tcPr>
            <w:tcW w:type="dxa" w:w="21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Purpose</w:t>
            </w:r>
          </w:p>
        </w:tc>
        <w:tc>
          <w:tcPr>
            <w:tcW w:type="dxa" w:w="32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Key columns</w:t>
            </w:r>
          </w:p>
        </w:tc>
        <w:tc>
          <w:tcPr>
            <w:tcW w:type="dxa" w:w="25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Why it is needed</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6"/>
              </w:rPr>
              <w:t>suburb_lga</w:t>
            </w:r>
          </w:p>
        </w:tc>
        <w:tc>
          <w:tcPr>
            <w:tcW w:type="dxa" w:w="2100"/>
            <w:vAlign w:val="center"/>
            <w:tcMar>
              <w:top w:w="80" w:type="dxa"/>
              <w:start w:w="120" w:type="dxa"/>
              <w:bottom w:w="80" w:type="dxa"/>
              <w:end w:w="120" w:type="dxa"/>
            </w:tcMar>
          </w:tcPr>
          <w:p>
            <w:pPr>
              <w:spacing w:after="0" w:line="240" w:lineRule="auto"/>
            </w:pPr>
            <w:r>
              <w:rPr>
                <w:rFonts w:ascii="Calibri" w:hAnsi="Calibri"/>
                <w:color w:val="1F2937"/>
                <w:sz w:val="16"/>
              </w:rPr>
              <w:t>Many-to-many locality/LGA membership</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6"/>
              </w:rPr>
              <w:t>suburb_id, lga_code/name, area_share_pct, is_primary, source_release_id, match_method</w:t>
            </w:r>
          </w:p>
        </w:tc>
        <w:tc>
          <w:tcPr>
            <w:tcW w:type="dxa" w:w="2560"/>
            <w:vAlign w:val="center"/>
            <w:tcMar>
              <w:top w:w="80" w:type="dxa"/>
              <w:start w:w="120" w:type="dxa"/>
              <w:bottom w:w="80" w:type="dxa"/>
              <w:end w:w="120" w:type="dxa"/>
            </w:tcMar>
          </w:tcPr>
          <w:p>
            <w:pPr>
              <w:spacing w:after="0" w:line="240" w:lineRule="auto"/>
            </w:pPr>
            <w:r>
              <w:rPr>
                <w:rFonts w:ascii="Calibri" w:hAnsi="Calibri"/>
                <w:color w:val="1F2937"/>
                <w:sz w:val="16"/>
              </w:rPr>
              <w:t>A suburb can cross LGA boundaries; a single LGA field is insufficient.</w:t>
            </w:r>
          </w:p>
        </w:tc>
      </w:tr>
      <w:tr>
        <w:trPr>
          <w:cantSplit/>
        </w:trPr>
        <w:tc>
          <w:tcPr>
            <w:tcW w:type="dxa" w:w="1500"/>
            <w:vAlign w:val="center"/>
            <w:shd w:fill="F8FAFC"/>
            <w:tcMar>
              <w:top w:w="80" w:type="dxa"/>
              <w:start w:w="120" w:type="dxa"/>
              <w:bottom w:w="80" w:type="dxa"/>
              <w:end w:w="120" w:type="dxa"/>
            </w:tcMar>
          </w:tcPr>
          <w:p>
            <w:pPr>
              <w:spacing w:after="0" w:line="240" w:lineRule="auto"/>
            </w:pPr>
            <w:r>
              <w:rPr>
                <w:rFonts w:ascii="Calibri" w:hAnsi="Calibri"/>
                <w:color w:val="1F2937"/>
                <w:sz w:val="16"/>
              </w:rPr>
              <w:t>user_suburb_list</w:t>
            </w:r>
          </w:p>
        </w:tc>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6"/>
              </w:rPr>
              <w:t>Named list aggregate</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6"/>
              </w:rPr>
              <w:t>list_id, user_subject, name, created_at, updated_at, row_version</w:t>
            </w:r>
          </w:p>
        </w:tc>
        <w:tc>
          <w:tcPr>
            <w:tcW w:type="dxa" w:w="2560"/>
            <w:vAlign w:val="center"/>
            <w:shd w:fill="F8FAFC"/>
            <w:tcMar>
              <w:top w:w="80" w:type="dxa"/>
              <w:start w:w="120" w:type="dxa"/>
              <w:bottom w:w="80" w:type="dxa"/>
              <w:end w:w="120" w:type="dxa"/>
            </w:tcMar>
          </w:tcPr>
          <w:p>
            <w:pPr>
              <w:spacing w:after="0" w:line="240" w:lineRule="auto"/>
            </w:pPr>
            <w:r>
              <w:rPr>
                <w:rFonts w:ascii="Calibri" w:hAnsi="Calibri"/>
                <w:color w:val="1F2937"/>
                <w:sz w:val="16"/>
              </w:rPr>
              <w:t>Supports saved lists without repeating list names and provides an optimistic-concurrency boundary.</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6"/>
              </w:rPr>
              <w:t>source_dataset</w:t>
            </w:r>
          </w:p>
        </w:tc>
        <w:tc>
          <w:tcPr>
            <w:tcW w:type="dxa" w:w="2100"/>
            <w:vAlign w:val="center"/>
            <w:tcMar>
              <w:top w:w="80" w:type="dxa"/>
              <w:start w:w="120" w:type="dxa"/>
              <w:bottom w:w="80" w:type="dxa"/>
              <w:end w:w="120" w:type="dxa"/>
            </w:tcMar>
          </w:tcPr>
          <w:p>
            <w:pPr>
              <w:spacing w:after="0" w:line="240" w:lineRule="auto"/>
            </w:pPr>
            <w:r>
              <w:rPr>
                <w:rFonts w:ascii="Calibri" w:hAnsi="Calibri"/>
                <w:color w:val="1F2937"/>
                <w:sz w:val="16"/>
              </w:rPr>
              <w:t>Publisher/source registry</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6"/>
              </w:rPr>
              <w:t>dataset_key, publisher, source_url, access_method, licence, expected_frequency, enabled</w:t>
            </w:r>
          </w:p>
        </w:tc>
        <w:tc>
          <w:tcPr>
            <w:tcW w:type="dxa" w:w="2560"/>
            <w:vAlign w:val="center"/>
            <w:tcMar>
              <w:top w:w="80" w:type="dxa"/>
              <w:start w:w="120" w:type="dxa"/>
              <w:bottom w:w="80" w:type="dxa"/>
              <w:end w:w="120" w:type="dxa"/>
            </w:tcMar>
          </w:tcPr>
          <w:p>
            <w:pPr>
              <w:spacing w:after="0" w:line="240" w:lineRule="auto"/>
            </w:pPr>
            <w:r>
              <w:rPr>
                <w:rFonts w:ascii="Calibri" w:hAnsi="Calibri"/>
                <w:color w:val="1F2937"/>
                <w:sz w:val="16"/>
              </w:rPr>
              <w:t>Centralises operational configuration and attribution without making it shared-domain code.</w:t>
            </w:r>
          </w:p>
        </w:tc>
      </w:tr>
      <w:tr>
        <w:trPr>
          <w:cantSplit/>
        </w:trPr>
        <w:tc>
          <w:tcPr>
            <w:tcW w:type="dxa" w:w="1500"/>
            <w:vAlign w:val="center"/>
            <w:shd w:fill="F8FAFC"/>
            <w:tcMar>
              <w:top w:w="80" w:type="dxa"/>
              <w:start w:w="120" w:type="dxa"/>
              <w:bottom w:w="80" w:type="dxa"/>
              <w:end w:w="120" w:type="dxa"/>
            </w:tcMar>
          </w:tcPr>
          <w:p>
            <w:pPr>
              <w:spacing w:after="0" w:line="240" w:lineRule="auto"/>
            </w:pPr>
            <w:r>
              <w:rPr>
                <w:rFonts w:ascii="Calibri" w:hAnsi="Calibri"/>
                <w:color w:val="1F2937"/>
                <w:sz w:val="16"/>
              </w:rPr>
              <w:t>source_release</w:t>
            </w:r>
          </w:p>
        </w:tc>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6"/>
              </w:rPr>
              <w:t>Immutable accepted/candidate release</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6"/>
              </w:rPr>
              <w:t>source_release_id, dataset_key, publisher_release, effective_date, checksum, record_count, coverage, freshness, transform_version, status</w:t>
            </w:r>
          </w:p>
        </w:tc>
        <w:tc>
          <w:tcPr>
            <w:tcW w:type="dxa" w:w="2560"/>
            <w:vAlign w:val="center"/>
            <w:shd w:fill="F8FAFC"/>
            <w:tcMar>
              <w:top w:w="80" w:type="dxa"/>
              <w:start w:w="120" w:type="dxa"/>
              <w:bottom w:w="80" w:type="dxa"/>
              <w:end w:w="120" w:type="dxa"/>
            </w:tcMar>
          </w:tcPr>
          <w:p>
            <w:pPr>
              <w:spacing w:after="0" w:line="240" w:lineRule="auto"/>
            </w:pPr>
            <w:r>
              <w:rPr>
                <w:rFonts w:ascii="Calibri" w:hAnsi="Calibri"/>
                <w:color w:val="1F2937"/>
                <w:sz w:val="16"/>
              </w:rPr>
              <w:t>Every observation can point to the exact input and transform; accepted pointer changes atomically.</w:t>
            </w:r>
          </w:p>
        </w:tc>
      </w:tr>
      <w:tr>
        <w:trPr>
          <w:cantSplit/>
        </w:trPr>
        <w:tc>
          <w:tcPr>
            <w:tcW w:type="dxa" w:w="1500"/>
            <w:vAlign w:val="center"/>
            <w:tcMar>
              <w:top w:w="80" w:type="dxa"/>
              <w:start w:w="120" w:type="dxa"/>
              <w:bottom w:w="80" w:type="dxa"/>
              <w:end w:w="120" w:type="dxa"/>
            </w:tcMar>
          </w:tcPr>
          <w:p>
            <w:pPr>
              <w:spacing w:after="0" w:line="240" w:lineRule="auto"/>
            </w:pPr>
            <w:r>
              <w:rPr>
                <w:rFonts w:ascii="Calibri" w:hAnsi="Calibri"/>
                <w:color w:val="1F2937"/>
                <w:sz w:val="16"/>
              </w:rPr>
              <w:t>ingestion_run</w:t>
            </w:r>
          </w:p>
        </w:tc>
        <w:tc>
          <w:tcPr>
            <w:tcW w:type="dxa" w:w="2100"/>
            <w:vAlign w:val="center"/>
            <w:tcMar>
              <w:top w:w="80" w:type="dxa"/>
              <w:start w:w="120" w:type="dxa"/>
              <w:bottom w:w="80" w:type="dxa"/>
              <w:end w:w="120" w:type="dxa"/>
            </w:tcMar>
          </w:tcPr>
          <w:p>
            <w:pPr>
              <w:spacing w:after="0" w:line="240" w:lineRule="auto"/>
            </w:pPr>
            <w:r>
              <w:rPr>
                <w:rFonts w:ascii="Calibri" w:hAnsi="Calibri"/>
                <w:color w:val="1F2937"/>
                <w:sz w:val="16"/>
              </w:rPr>
              <w:t>Acquisition/validation audit</w:t>
            </w:r>
          </w:p>
        </w:tc>
        <w:tc>
          <w:tcPr>
            <w:tcW w:type="dxa" w:w="3200"/>
            <w:vAlign w:val="center"/>
            <w:tcMar>
              <w:top w:w="80" w:type="dxa"/>
              <w:start w:w="120" w:type="dxa"/>
              <w:bottom w:w="80" w:type="dxa"/>
              <w:end w:w="120" w:type="dxa"/>
            </w:tcMar>
          </w:tcPr>
          <w:p>
            <w:pPr>
              <w:spacing w:after="0" w:line="240" w:lineRule="auto"/>
            </w:pPr>
            <w:r>
              <w:rPr>
                <w:rFonts w:ascii="Calibri" w:hAnsi="Calibri"/>
                <w:color w:val="1F2937"/>
                <w:sz w:val="16"/>
              </w:rPr>
              <w:t>run_id, dataset_key, request_id, started/ended, status, counts, validation_report_json, candidate_release_id</w:t>
            </w:r>
          </w:p>
        </w:tc>
        <w:tc>
          <w:tcPr>
            <w:tcW w:type="dxa" w:w="2560"/>
            <w:vAlign w:val="center"/>
            <w:tcMar>
              <w:top w:w="80" w:type="dxa"/>
              <w:start w:w="120" w:type="dxa"/>
              <w:bottom w:w="80" w:type="dxa"/>
              <w:end w:w="120" w:type="dxa"/>
            </w:tcMar>
          </w:tcPr>
          <w:p>
            <w:pPr>
              <w:spacing w:after="0" w:line="240" w:lineRule="auto"/>
            </w:pPr>
            <w:r>
              <w:rPr>
                <w:rFonts w:ascii="Calibri" w:hAnsi="Calibri"/>
                <w:color w:val="1F2937"/>
                <w:sz w:val="16"/>
              </w:rPr>
              <w:t>Shows quality evidence and supports idempotent retry/recovery without exposing filesystem details.</w:t>
            </w:r>
          </w:p>
        </w:tc>
      </w:tr>
      <w:tr>
        <w:trPr>
          <w:cantSplit/>
        </w:trPr>
        <w:tc>
          <w:tcPr>
            <w:tcW w:type="dxa" w:w="1500"/>
            <w:vAlign w:val="center"/>
            <w:shd w:fill="F8FAFC"/>
            <w:tcMar>
              <w:top w:w="80" w:type="dxa"/>
              <w:start w:w="120" w:type="dxa"/>
              <w:bottom w:w="80" w:type="dxa"/>
              <w:end w:w="120" w:type="dxa"/>
            </w:tcMar>
          </w:tcPr>
          <w:p>
            <w:pPr>
              <w:spacing w:after="0" w:line="240" w:lineRule="auto"/>
            </w:pPr>
            <w:r>
              <w:rPr>
                <w:rFonts w:ascii="Calibri" w:hAnsi="Calibri"/>
                <w:color w:val="1F2937"/>
                <w:sz w:val="16"/>
              </w:rPr>
              <w:t>geography_match</w:t>
            </w:r>
          </w:p>
        </w:tc>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6"/>
              </w:rPr>
              <w:t>Versioned source-code/name crosswalk</w:t>
            </w:r>
          </w:p>
        </w:tc>
        <w:tc>
          <w:tcPr>
            <w:tcW w:type="dxa" w:w="3200"/>
            <w:vAlign w:val="center"/>
            <w:shd w:fill="F8FAFC"/>
            <w:tcMar>
              <w:top w:w="80" w:type="dxa"/>
              <w:start w:w="120" w:type="dxa"/>
              <w:bottom w:w="80" w:type="dxa"/>
              <w:end w:w="120" w:type="dxa"/>
            </w:tcMar>
          </w:tcPr>
          <w:p>
            <w:pPr>
              <w:spacing w:after="0" w:line="240" w:lineRule="auto"/>
            </w:pPr>
            <w:r>
              <w:rPr>
                <w:rFonts w:ascii="Calibri" w:hAnsi="Calibri"/>
                <w:color w:val="1F2937"/>
                <w:sz w:val="16"/>
              </w:rPr>
              <w:t>source_system, source_key, suburb_id, valid_from/to, method, confidence, review_status</w:t>
            </w:r>
          </w:p>
        </w:tc>
        <w:tc>
          <w:tcPr>
            <w:tcW w:type="dxa" w:w="2560"/>
            <w:vAlign w:val="center"/>
            <w:shd w:fill="F8FAFC"/>
            <w:tcMar>
              <w:top w:w="80" w:type="dxa"/>
              <w:start w:w="120" w:type="dxa"/>
              <w:bottom w:w="80" w:type="dxa"/>
              <w:end w:w="120" w:type="dxa"/>
            </w:tcMar>
          </w:tcPr>
          <w:p>
            <w:pPr>
              <w:spacing w:after="0" w:line="240" w:lineRule="auto"/>
            </w:pPr>
            <w:r>
              <w:rPr>
                <w:rFonts w:ascii="Calibri" w:hAnsi="Calibri"/>
                <w:color w:val="1F2937"/>
                <w:sz w:val="16"/>
              </w:rPr>
              <w:t>Prevents silent text matching and preserves ambiguity decisions across source releases.</w:t>
            </w:r>
          </w:p>
        </w:tc>
      </w:tr>
    </w:tbl>
    <w:p>
      <w:pPr>
        <w:spacing w:after="40"/>
      </w:pPr>
    </w:p>
    <w:p>
      <w:pPr>
        <w:pStyle w:val="Heading2"/>
      </w:pPr>
      <w:r>
        <w:t>Schema rules and seed plan</w:t>
      </w:r>
    </w:p>
    <w:p>
      <w:pPr>
        <w:numPr>
          <w:ilvl w:val="0"/>
          <w:numId w:val="1"/>
        </w:numPr>
        <w:spacing w:after="160" w:line="280" w:lineRule="auto"/>
      </w:pPr>
      <w:r>
        <w:rPr>
          <w:rFonts w:ascii="Calibri" w:hAnsi="Calibri"/>
        </w:rPr>
        <w:t>Use foreign keys, CHECK constraints, unique keys, UTC timestamps, and integer row_version values. Enable SQLite foreign_keys and WAL only after container/filesystem tests confirm the selected mode.</w:t>
      </w:r>
    </w:p>
    <w:p>
      <w:pPr>
        <w:numPr>
          <w:ilvl w:val="0"/>
          <w:numId w:val="1"/>
        </w:numPr>
        <w:spacing w:after="160" w:line="280" w:lineRule="auto"/>
      </w:pPr>
      <w:r>
        <w:rPr>
          <w:rFonts w:ascii="Calibri" w:hAnsi="Calibri"/>
        </w:rPr>
        <w:t>Store source facts immutably by release. A new accepted release adds/replaces the accepted projection atomically; it does not rewrite prior release evidence in place.</w:t>
      </w:r>
    </w:p>
    <w:p>
      <w:pPr>
        <w:numPr>
          <w:ilvl w:val="0"/>
          <w:numId w:val="1"/>
        </w:numPr>
        <w:spacing w:after="160" w:line="280" w:lineRule="auto"/>
      </w:pPr>
      <w:r>
        <w:rPr>
          <w:rFonts w:ascii="Calibri" w:hAnsi="Calibri"/>
        </w:rPr>
        <w:t>Store simplified boundary GeoJSON suitable for the public map, with a maximum feature size and vertex count. Retain authoritative raw acquisition outside the interactive table or through a validated release artefact.</w:t>
      </w:r>
    </w:p>
    <w:p>
      <w:pPr>
        <w:numPr>
          <w:ilvl w:val="0"/>
          <w:numId w:val="1"/>
        </w:numPr>
        <w:spacing w:after="160" w:line="280" w:lineRule="auto"/>
      </w:pPr>
      <w:r>
        <w:rPr>
          <w:rFonts w:ascii="Calibri" w:hAnsi="Calibri"/>
        </w:rPr>
        <w:t>The deterministic fixture seeds at least ten records in every table, not only the five assessed tables. Suggested suburb fixture: Parramatta, Newtown, Chatswood, Penrith, Newcastle, Wollongong, Dubbo, Orange, Tamworth, and Albury.</w:t>
      </w:r>
    </w:p>
    <w:p>
      <w:pPr>
        <w:numPr>
          <w:ilvl w:val="0"/>
          <w:numId w:val="1"/>
        </w:numPr>
        <w:spacing w:after="160" w:line="280" w:lineRule="auto"/>
      </w:pPr>
      <w:r>
        <w:rPr>
          <w:rFonts w:ascii="Calibri" w:hAnsi="Calibri"/>
        </w:rPr>
        <w:t>Fixture records use clearly identified synthetic or frozen public-source snapshots and never claim current accuracy. Tests assert seed counts and referential integrity.</w:t>
      </w:r>
    </w:p>
    <w:p>
      <w:pPr>
        <w:pStyle w:val="Heading2"/>
      </w:pPr>
      <w:r>
        <w:t>Database API boundary</w:t>
      </w:r>
    </w:p>
    <w:p>
      <w:r>
        <w:rPr>
          <w:rFonts w:ascii="Calibri" w:hAnsi="Calibri"/>
        </w:rPr>
        <w:t>The private database service exposes persistence-shaped endpoints for suburb projections, indicators, amenities, user lists, releases, ingestion receipts, health, migration version, and seed state. The public backend remains the only domain boundary: it validates business rules, permissions, comparison semantics, source acceptance, and AI tool inputs before calling the database API. The edge never proxies database endpoints.</w:t>
      </w:r>
    </w:p>
    <w:p>
      <w:r>
        <w:br w:type="page"/>
      </w:r>
    </w:p>
    <w:p>
      <w:pPr>
        <w:pStyle w:val="Heading1"/>
      </w:pPr>
      <w:r>
        <w:t>Ingestion, transformation, and publication</w:t>
      </w:r>
    </w:p>
    <w:p>
      <w:pPr>
        <w:pStyle w:val="Heading2"/>
      </w:pPr>
      <w:r>
        <w:t>Pipeline</w:t>
      </w:r>
    </w:p>
    <w:p>
      <w:pPr>
        <w:numPr>
          <w:ilvl w:val="0"/>
          <w:numId w:val="12"/>
        </w:numPr>
        <w:spacing w:after="160" w:line="280" w:lineRule="auto"/>
      </w:pPr>
      <w:r>
        <w:rPr>
          <w:rFonts w:ascii="Calibri" w:hAnsi="Calibri"/>
        </w:rPr>
        <w:t>Register source: dataset key, publisher URL, expected format, licence, expected frequency, schema version, and checksum policy.</w:t>
      </w:r>
    </w:p>
    <w:p>
      <w:pPr>
        <w:numPr>
          <w:ilvl w:val="0"/>
          <w:numId w:val="12"/>
        </w:numPr>
        <w:spacing w:after="160" w:line="280" w:lineRule="auto"/>
      </w:pPr>
      <w:r>
        <w:rPr>
          <w:rFonts w:ascii="Calibri" w:hAnsi="Calibri"/>
        </w:rPr>
        <w:t>Acquire: download the bulk file/API pages into a job-scoped staging area with request ID, publisher metadata, content hash, and byte limits.</w:t>
      </w:r>
    </w:p>
    <w:p>
      <w:pPr>
        <w:numPr>
          <w:ilvl w:val="0"/>
          <w:numId w:val="12"/>
        </w:numPr>
        <w:spacing w:after="160" w:line="280" w:lineRule="auto"/>
      </w:pPr>
      <w:r>
        <w:rPr>
          <w:rFonts w:ascii="Calibri" w:hAnsi="Calibri"/>
        </w:rPr>
        <w:t>Stage: parse CSV/XLSX/ZIP/GeoJSON/GTFS with explicit encodings and schemas. Never execute macros or formulas from publisher workbooks.</w:t>
      </w:r>
    </w:p>
    <w:p>
      <w:pPr>
        <w:numPr>
          <w:ilvl w:val="0"/>
          <w:numId w:val="12"/>
        </w:numPr>
        <w:spacing w:after="160" w:line="280" w:lineRule="auto"/>
      </w:pPr>
      <w:r>
        <w:rPr>
          <w:rFonts w:ascii="Calibri" w:hAnsi="Calibri"/>
        </w:rPr>
        <w:t>Validate: schema/types, record counts, duplicates, date coverage, coordinates/CRS, category codes, suppression markers, and publisher-specific invariants.</w:t>
      </w:r>
    </w:p>
    <w:p>
      <w:pPr>
        <w:numPr>
          <w:ilvl w:val="0"/>
          <w:numId w:val="12"/>
        </w:numPr>
        <w:spacing w:after="160" w:line="280" w:lineRule="auto"/>
      </w:pPr>
      <w:r>
        <w:rPr>
          <w:rFonts w:ascii="Calibri" w:hAnsi="Calibri"/>
        </w:rPr>
        <w:t>Reconcile geography: resolve NSW identity, ABS SAL, LGA, BOCSAR name, and amenity point assignments; quarantine ambiguous/unmatched records.</w:t>
      </w:r>
    </w:p>
    <w:p>
      <w:pPr>
        <w:numPr>
          <w:ilvl w:val="0"/>
          <w:numId w:val="12"/>
        </w:numPr>
        <w:spacing w:after="160" w:line="280" w:lineRule="auto"/>
      </w:pPr>
      <w:r>
        <w:rPr>
          <w:rFonts w:ascii="Calibri" w:hAnsi="Calibri"/>
        </w:rPr>
        <w:t>Transform: create typed domain rows and deterministic derived measures with transform_version and reproducible calculation metadata.</w:t>
      </w:r>
    </w:p>
    <w:p>
      <w:pPr>
        <w:numPr>
          <w:ilvl w:val="0"/>
          <w:numId w:val="12"/>
        </w:numPr>
        <w:spacing w:after="160" w:line="280" w:lineRule="auto"/>
      </w:pPr>
      <w:r>
        <w:rPr>
          <w:rFonts w:ascii="Calibri" w:hAnsi="Calibri"/>
        </w:rPr>
        <w:t>Candidate: write a complete candidate release transactionally; generate coverage, match, count, checksum, and difference reports.</w:t>
      </w:r>
    </w:p>
    <w:p>
      <w:pPr>
        <w:numPr>
          <w:ilvl w:val="0"/>
          <w:numId w:val="12"/>
        </w:numPr>
        <w:spacing w:after="160" w:line="280" w:lineRule="auto"/>
      </w:pPr>
      <w:r>
        <w:rPr>
          <w:rFonts w:ascii="Calibri" w:hAnsi="Calibri"/>
        </w:rPr>
        <w:t>Review/publish: operator accepts or rejects. Acceptance atomically advances the dataset pointer; rejection or failure keeps the previous accepted release live.</w:t>
      </w:r>
    </w:p>
    <w:p>
      <w:pPr>
        <w:numPr>
          <w:ilvl w:val="0"/>
          <w:numId w:val="12"/>
        </w:numPr>
        <w:spacing w:after="160" w:line="280" w:lineRule="auto"/>
      </w:pPr>
      <w:r>
        <w:rPr>
          <w:rFonts w:ascii="Calibri" w:hAnsi="Calibri"/>
        </w:rPr>
        <w:t>Serve/observe: clear affected caches, expose freshness, monitor import latency/error counts, and retain the receipt needed to reproduce the release.</w:t>
      </w:r>
    </w:p>
    <w:p>
      <w:pPr>
        <w:pStyle w:val="Heading2"/>
      </w:pPr>
      <w:r>
        <w:t>Source-specific transformations</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cantSplit/>
        </w:trPr>
        <w:tc>
          <w:tcPr>
            <w:tcW w:type="dxa" w:w="17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Source</w:t>
            </w:r>
          </w:p>
        </w:tc>
        <w:tc>
          <w:tcPr>
            <w:tcW w:type="dxa" w:w="3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Transform</w:t>
            </w:r>
          </w:p>
        </w:tc>
        <w:tc>
          <w:tcPr>
            <w:tcW w:type="dxa" w:w="37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Quality gates</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7"/>
              </w:rPr>
              <w:t>NSW boundaries</w:t>
            </w:r>
          </w:p>
        </w:tc>
        <w:tc>
          <w:tcPr>
            <w:tcW w:type="dxa" w:w="3900"/>
            <w:vAlign w:val="center"/>
            <w:tcMar>
              <w:top w:w="80" w:type="dxa"/>
              <w:start w:w="120" w:type="dxa"/>
              <w:bottom w:w="80" w:type="dxa"/>
              <w:end w:w="120" w:type="dxa"/>
            </w:tcMar>
          </w:tcPr>
          <w:p>
            <w:pPr>
              <w:spacing w:after="0" w:line="240" w:lineRule="auto"/>
            </w:pPr>
            <w:r>
              <w:rPr>
                <w:rFonts w:ascii="Calibri" w:hAnsi="Calibri"/>
                <w:color w:val="1F2937"/>
                <w:sz w:val="17"/>
              </w:rPr>
              <w:t>Project to WGS84 for browser output; simplify geometry; compute centroid/bbox; create LGA intersections</w:t>
            </w:r>
          </w:p>
        </w:tc>
        <w:tc>
          <w:tcPr>
            <w:tcW w:type="dxa" w:w="3760"/>
            <w:vAlign w:val="center"/>
            <w:tcMar>
              <w:top w:w="80" w:type="dxa"/>
              <w:start w:w="120" w:type="dxa"/>
              <w:bottom w:w="80" w:type="dxa"/>
              <w:end w:w="120" w:type="dxa"/>
            </w:tcMar>
          </w:tcPr>
          <w:p>
            <w:pPr>
              <w:spacing w:after="0" w:line="240" w:lineRule="auto"/>
            </w:pPr>
            <w:r>
              <w:rPr>
                <w:rFonts w:ascii="Calibri" w:hAnsi="Calibri"/>
                <w:color w:val="1F2937"/>
                <w:sz w:val="17"/>
              </w:rPr>
              <w:t>Valid geometry; no empty polygons; state=NSW; unique source code; simplification tolerance/version; area-share totals reviewed</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7"/>
              </w:rPr>
              <w:t>ABS Census / SEIFA</w:t>
            </w:r>
          </w:p>
        </w:tc>
        <w:tc>
          <w:tcPr>
            <w:tcW w:type="dxa" w:w="3900"/>
            <w:vAlign w:val="center"/>
            <w:shd w:fill="F8FAFC"/>
            <w:tcMar>
              <w:top w:w="80" w:type="dxa"/>
              <w:start w:w="120" w:type="dxa"/>
              <w:bottom w:w="80" w:type="dxa"/>
              <w:end w:w="120" w:type="dxa"/>
            </w:tcMar>
          </w:tcPr>
          <w:p>
            <w:pPr>
              <w:spacing w:after="0" w:line="240" w:lineRule="auto"/>
            </w:pPr>
            <w:r>
              <w:rPr>
                <w:rFonts w:ascii="Calibri" w:hAnsi="Calibri"/>
                <w:color w:val="1F2937"/>
                <w:sz w:val="17"/>
              </w:rPr>
              <w:t>Map SAL codes; convert selected cells to typed metrics; retain not-stated/suppressed metadata</w:t>
            </w:r>
          </w:p>
        </w:tc>
        <w:tc>
          <w:tcPr>
            <w:tcW w:type="dxa" w:w="3760"/>
            <w:vAlign w:val="center"/>
            <w:shd w:fill="F8FAFC"/>
            <w:tcMar>
              <w:top w:w="80" w:type="dxa"/>
              <w:start w:w="120" w:type="dxa"/>
              <w:bottom w:w="80" w:type="dxa"/>
              <w:end w:w="120" w:type="dxa"/>
            </w:tcMar>
          </w:tcPr>
          <w:p>
            <w:pPr>
              <w:spacing w:after="0" w:line="240" w:lineRule="auto"/>
            </w:pPr>
            <w:r>
              <w:rPr>
                <w:rFonts w:ascii="Calibri" w:hAnsi="Calibri"/>
                <w:color w:val="1F2937"/>
                <w:sz w:val="17"/>
              </w:rPr>
              <w:t>Census year; exact table/column dictionary; totals reconcile within tolerance; no suppressed-value imputation</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7"/>
              </w:rPr>
              <w:t>BOCSAR</w:t>
            </w:r>
          </w:p>
        </w:tc>
        <w:tc>
          <w:tcPr>
            <w:tcW w:type="dxa" w:w="3900"/>
            <w:vAlign w:val="center"/>
            <w:tcMar>
              <w:top w:w="80" w:type="dxa"/>
              <w:start w:w="120" w:type="dxa"/>
              <w:bottom w:w="80" w:type="dxa"/>
              <w:end w:w="120" w:type="dxa"/>
            </w:tcMar>
          </w:tcPr>
          <w:p>
            <w:pPr>
              <w:spacing w:after="0" w:line="240" w:lineRule="auto"/>
            </w:pPr>
            <w:r>
              <w:rPr>
                <w:rFonts w:ascii="Calibri" w:hAnsi="Calibri"/>
                <w:color w:val="1F2937"/>
                <w:sz w:val="17"/>
              </w:rPr>
              <w:t>Unpivot monthly offence columns if required; map offence codes and suburb crosswalk; aggregate only from preserved source rows</w:t>
            </w:r>
          </w:p>
        </w:tc>
        <w:tc>
          <w:tcPr>
            <w:tcW w:type="dxa" w:w="3760"/>
            <w:vAlign w:val="center"/>
            <w:tcMar>
              <w:top w:w="80" w:type="dxa"/>
              <w:start w:w="120" w:type="dxa"/>
              <w:bottom w:w="80" w:type="dxa"/>
              <w:end w:w="120" w:type="dxa"/>
            </w:tcMar>
          </w:tcPr>
          <w:p>
            <w:pPr>
              <w:spacing w:after="0" w:line="240" w:lineRule="auto"/>
            </w:pPr>
            <w:r>
              <w:rPr>
                <w:rFonts w:ascii="Calibri" w:hAnsi="Calibri"/>
                <w:color w:val="1F2937"/>
                <w:sz w:val="17"/>
              </w:rPr>
              <w:t>Valid month; non-negative integer counts; stable offence dictionary; duplicates and partial years rejected/flagged</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7"/>
              </w:rPr>
              <w:t>GTFS</w:t>
            </w:r>
          </w:p>
        </w:tc>
        <w:tc>
          <w:tcPr>
            <w:tcW w:type="dxa" w:w="3900"/>
            <w:vAlign w:val="center"/>
            <w:shd w:fill="F8FAFC"/>
            <w:tcMar>
              <w:top w:w="80" w:type="dxa"/>
              <w:start w:w="120" w:type="dxa"/>
              <w:bottom w:w="80" w:type="dxa"/>
              <w:end w:w="120" w:type="dxa"/>
            </w:tcMar>
          </w:tcPr>
          <w:p>
            <w:pPr>
              <w:spacing w:after="0" w:line="240" w:lineRule="auto"/>
            </w:pPr>
            <w:r>
              <w:rPr>
                <w:rFonts w:ascii="Calibri" w:hAnsi="Calibri"/>
                <w:color w:val="1F2937"/>
                <w:sz w:val="17"/>
              </w:rPr>
              <w:t>Load stops/routes/trips/stop_times/calendar; derive service-day frequency for a declared weekday window; assign stops to suburbs</w:t>
            </w:r>
          </w:p>
        </w:tc>
        <w:tc>
          <w:tcPr>
            <w:tcW w:type="dxa" w:w="3760"/>
            <w:vAlign w:val="center"/>
            <w:shd w:fill="F8FAFC"/>
            <w:tcMar>
              <w:top w:w="80" w:type="dxa"/>
              <w:start w:w="120" w:type="dxa"/>
              <w:bottom w:w="80" w:type="dxa"/>
              <w:end w:w="120" w:type="dxa"/>
            </w:tcMar>
          </w:tcPr>
          <w:p>
            <w:pPr>
              <w:spacing w:after="0" w:line="240" w:lineRule="auto"/>
            </w:pPr>
            <w:r>
              <w:rPr>
                <w:rFonts w:ascii="Calibri" w:hAnsi="Calibri"/>
                <w:color w:val="1F2937"/>
                <w:sz w:val="17"/>
              </w:rPr>
              <w:t>Foreign-key integrity; valid feed dates; coordinate bounds; no real-time/reliability claim</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7"/>
              </w:rPr>
              <w:t>Schools / POI / hospitals</w:t>
            </w:r>
          </w:p>
        </w:tc>
        <w:tc>
          <w:tcPr>
            <w:tcW w:type="dxa" w:w="3900"/>
            <w:vAlign w:val="center"/>
            <w:tcMar>
              <w:top w:w="80" w:type="dxa"/>
              <w:start w:w="120" w:type="dxa"/>
              <w:bottom w:w="80" w:type="dxa"/>
              <w:end w:w="120" w:type="dxa"/>
            </w:tcMar>
          </w:tcPr>
          <w:p>
            <w:pPr>
              <w:spacing w:after="0" w:line="240" w:lineRule="auto"/>
            </w:pPr>
            <w:r>
              <w:rPr>
                <w:rFonts w:ascii="Calibri" w:hAnsi="Calibri"/>
                <w:color w:val="1F2937"/>
                <w:sz w:val="17"/>
              </w:rPr>
              <w:t>Normalise categories and coordinates; retain source IDs/names; point-in-polygon assignment</w:t>
            </w:r>
          </w:p>
        </w:tc>
        <w:tc>
          <w:tcPr>
            <w:tcW w:type="dxa" w:w="3760"/>
            <w:vAlign w:val="center"/>
            <w:tcMar>
              <w:top w:w="80" w:type="dxa"/>
              <w:start w:w="120" w:type="dxa"/>
              <w:bottom w:w="80" w:type="dxa"/>
              <w:end w:w="120" w:type="dxa"/>
            </w:tcMar>
          </w:tcPr>
          <w:p>
            <w:pPr>
              <w:spacing w:after="0" w:line="240" w:lineRule="auto"/>
            </w:pPr>
            <w:r>
              <w:rPr>
                <w:rFonts w:ascii="Calibri" w:hAnsi="Calibri"/>
                <w:color w:val="1F2937"/>
                <w:sz w:val="17"/>
              </w:rPr>
              <w:t>Category whitelist; duplicate/source ID checks; coordinate and licence validation; unassigned points quarantined</w:t>
            </w:r>
          </w:p>
        </w:tc>
      </w:tr>
    </w:tbl>
    <w:p>
      <w:pPr>
        <w:spacing w:after="40"/>
      </w:pPr>
    </w:p>
    <w:p>
      <w:pPr>
        <w:pStyle w:val="Heading2"/>
      </w:pPr>
      <w:r>
        <w:t>Operational endpoints and commands</w:t>
      </w:r>
    </w:p>
    <w:p>
      <w:r>
        <w:rPr>
          <w:rFonts w:ascii="Calibri" w:hAnsi="Calibri"/>
        </w:rPr>
        <w:t>Operator actions should be exposed through authenticated backend endpoints and a documented CLI entry under scripts/dev.py data, following the repository's existing acquisition pattern. Recommended operations are preview, collect, validate, candidate detail, accept, reject, retry, and status. The normal application startup must not contact a publisher automatically.</w:t>
      </w:r>
    </w:p>
    <w:p>
      <w:pPr>
        <w:keepLines/>
        <w:spacing w:before="120" w:after="200" w:line="264" w:lineRule="auto"/>
        <w:ind w:left="173" w:right="86"/>
        <w:shd w:fill="FFF4E5"/>
        <w:pBdr>
          <w:left w:val="single" w:sz="18" w:space="7" w:color="A66A00"/>
        </w:pBdr>
      </w:pPr>
      <w:r>
        <w:rPr>
          <w:rFonts w:ascii="Calibri" w:hAnsi="Calibri"/>
          <w:b/>
          <w:color w:val="A66A00"/>
        </w:rPr>
        <w:t xml:space="preserve">Safety: </w:t>
      </w:r>
      <w:r>
        <w:rPr>
          <w:rFonts w:ascii="Calibri" w:hAnsi="Calibri"/>
          <w:color w:val="1F2937"/>
        </w:rPr>
        <w:t>Treat all publisher files and retrieved text as untrusted data. Enforce content-type and size limits, safe archive extraction, macro/formula non-execution, network allowlists, request timeouts, schema validation, log redaction, and job-scoped temporary directories.</w:t>
      </w:r>
    </w:p>
    <w:p>
      <w:r>
        <w:br w:type="page"/>
      </w:r>
    </w:p>
    <w:p>
      <w:pPr>
        <w:pStyle w:val="Heading1"/>
      </w:pPr>
      <w:r>
        <w:t>Security, accessibility, and non-functional requirements</w:t>
      </w:r>
    </w:p>
    <w:p>
      <w:pPr>
        <w:pStyle w:val="Heading2"/>
      </w:pPr>
      <w:r>
        <w:t>Security and privacy</w:t>
      </w:r>
    </w:p>
    <w:p>
      <w:pPr>
        <w:numPr>
          <w:ilvl w:val="0"/>
          <w:numId w:val="1"/>
        </w:numPr>
        <w:spacing w:after="160" w:line="280" w:lineRule="auto"/>
      </w:pPr>
      <w:r>
        <w:rPr>
          <w:rFonts w:ascii="Calibri" w:hAnsi="Calibri"/>
        </w:rPr>
        <w:t>Authorisation is server-side. user_subject comes from the trusted identity boundary; clients cannot choose another user's subject or list owner.</w:t>
      </w:r>
    </w:p>
    <w:p>
      <w:pPr>
        <w:numPr>
          <w:ilvl w:val="0"/>
          <w:numId w:val="1"/>
        </w:numPr>
        <w:spacing w:after="160" w:line="280" w:lineRule="auto"/>
      </w:pPr>
      <w:r>
        <w:rPr>
          <w:rFonts w:ascii="Calibri" w:hAnsi="Calibri"/>
        </w:rPr>
        <w:t>Saved notes are private, length-limited, autoescaped, excluded from AI context by default, and redacted from structured logs and traces.</w:t>
      </w:r>
    </w:p>
    <w:p>
      <w:pPr>
        <w:numPr>
          <w:ilvl w:val="0"/>
          <w:numId w:val="1"/>
        </w:numPr>
        <w:spacing w:after="160" w:line="280" w:lineRule="auto"/>
      </w:pPr>
      <w:r>
        <w:rPr>
          <w:rFonts w:ascii="Calibri" w:hAnsi="Calibri"/>
        </w:rPr>
        <w:t>Use CSRF protection for cookie-authenticated mutations, secure cookies, strict CSP, same-origin API calls, and allowlisted outbound publisher/AI hosts.</w:t>
      </w:r>
    </w:p>
    <w:p>
      <w:pPr>
        <w:numPr>
          <w:ilvl w:val="0"/>
          <w:numId w:val="1"/>
        </w:numPr>
        <w:spacing w:after="160" w:line="280" w:lineRule="auto"/>
      </w:pPr>
      <w:r>
        <w:rPr>
          <w:rFonts w:ascii="Calibri" w:hAnsi="Calibri"/>
        </w:rPr>
        <w:t>Validate all filter/sort/date/ID parameters through typed schemas. SQLAlchemy parameters only; no dynamic SQL columns outside a whitelist.</w:t>
      </w:r>
    </w:p>
    <w:p>
      <w:pPr>
        <w:numPr>
          <w:ilvl w:val="0"/>
          <w:numId w:val="1"/>
        </w:numPr>
        <w:spacing w:after="160" w:line="280" w:lineRule="auto"/>
      </w:pPr>
      <w:r>
        <w:rPr>
          <w:rFonts w:ascii="Calibri" w:hAnsi="Calibri"/>
        </w:rPr>
        <w:t>AI tools are schema-validated and read-only for this feature. Any future mutation requires explicit policy classification, idempotency, human review, and stale-approval detection.</w:t>
      </w:r>
    </w:p>
    <w:p>
      <w:pPr>
        <w:numPr>
          <w:ilvl w:val="0"/>
          <w:numId w:val="1"/>
        </w:numPr>
        <w:spacing w:after="160" w:line="280" w:lineRule="auto"/>
      </w:pPr>
      <w:r>
        <w:rPr>
          <w:rFonts w:ascii="Calibri" w:hAnsi="Calibri"/>
        </w:rPr>
        <w:t>Dataset licences, attribution, and access credentials are configuration/operations concerns. Secrets are runtime-injected and never committed or included in release manifests.</w:t>
      </w:r>
    </w:p>
    <w:p>
      <w:pPr>
        <w:pStyle w:val="Heading2"/>
      </w:pPr>
      <w:r>
        <w:t>Accessibility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Area</w:t>
            </w:r>
          </w:p>
        </w:tc>
        <w:tc>
          <w:tcPr>
            <w:tcW w:type="dxa" w:w="74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Requirement</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Structure</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One main landmark and one route-level h1; semantic headings; skip link; labelled local/global navigation.</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Keyboard/focus</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All filters, tabs, dialogs, list actions, chart controls, and map-linked lists are keyboard operable; focus moves to updated headings/status.</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Charts</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SVG/canvas is supplemental. Each chart has a text summary, table alternative, unit/period/source, and colour-independent markers.</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Maps</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The amenity list is functionally equivalent; marker selection synchronises with list focus; no required action depends on drag/zoom.</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Colour/contrast</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Use shared tokens, WCAG AA contrast, patterns/labels for missing data, and no red-green-only safety encoding.</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Motion</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Respect prefers-reduced-motion; avoid animated chart transitions that block reading.</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Errors</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Inline field errors plus Problem Details summary; preserve entered values; announce asynchronous errors and expose request ID.</w:t>
            </w:r>
          </w:p>
        </w:tc>
      </w:tr>
    </w:tbl>
    <w:p>
      <w:pPr>
        <w:spacing w:after="40"/>
      </w:pPr>
    </w:p>
    <w:p>
      <w:r>
        <w:br w:type="page"/>
      </w:r>
    </w:p>
    <w:p>
      <w:pPr>
        <w:pStyle w:val="Heading2"/>
      </w:pPr>
      <w:r>
        <w:t>Performance, resilience, and observability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Concern</w:t>
            </w:r>
          </w:p>
        </w:tc>
        <w:tc>
          <w:tcPr>
            <w:tcW w:type="dxa" w:w="72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Requirement / proposed target</w:t>
            </w:r>
          </w:p>
        </w:tc>
      </w:tr>
      <w:tr>
        <w:trPr>
          <w:cantSplit/>
        </w:trPr>
        <w:tc>
          <w:tcPr>
            <w:tcW w:type="dxa" w:w="2100"/>
            <w:vAlign w:val="center"/>
            <w:tcMar>
              <w:top w:w="80" w:type="dxa"/>
              <w:start w:w="120" w:type="dxa"/>
              <w:bottom w:w="80" w:type="dxa"/>
              <w:end w:w="120" w:type="dxa"/>
            </w:tcMar>
          </w:tcPr>
          <w:p>
            <w:pPr>
              <w:spacing w:after="0" w:line="240" w:lineRule="auto"/>
            </w:pPr>
            <w:r>
              <w:rPr>
                <w:rFonts w:ascii="Calibri" w:hAnsi="Calibri"/>
                <w:color w:val="1F2937"/>
                <w:sz w:val="17"/>
              </w:rPr>
              <w:t>CRUD/search latency</w:t>
            </w:r>
          </w:p>
        </w:tc>
        <w:tc>
          <w:tcPr>
            <w:tcW w:type="dxa" w:w="7260"/>
            <w:vAlign w:val="center"/>
            <w:tcMar>
              <w:top w:w="80" w:type="dxa"/>
              <w:start w:w="120" w:type="dxa"/>
              <w:bottom w:w="80" w:type="dxa"/>
              <w:end w:w="120" w:type="dxa"/>
            </w:tcMar>
          </w:tcPr>
          <w:p>
            <w:pPr>
              <w:spacing w:after="0" w:line="240" w:lineRule="auto"/>
            </w:pPr>
            <w:r>
              <w:rPr>
                <w:rFonts w:ascii="Calibri" w:hAnsi="Calibri"/>
                <w:color w:val="1F2937"/>
                <w:sz w:val="17"/>
              </w:rPr>
              <w:t>p95 &lt; 500 ms for local accepted-data endpoints at representative seeded/NSW scale; AI latency measured separately.</w:t>
            </w:r>
          </w:p>
        </w:tc>
      </w:tr>
      <w:tr>
        <w:trPr>
          <w:cantSplit/>
        </w:trPr>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7"/>
              </w:rPr>
              <w:t>Pagination</w:t>
            </w:r>
          </w:p>
        </w:tc>
        <w:tc>
          <w:tcPr>
            <w:tcW w:type="dxa" w:w="7260"/>
            <w:vAlign w:val="center"/>
            <w:shd w:fill="F8FAFC"/>
            <w:tcMar>
              <w:top w:w="80" w:type="dxa"/>
              <w:start w:w="120" w:type="dxa"/>
              <w:bottom w:w="80" w:type="dxa"/>
              <w:end w:w="120" w:type="dxa"/>
            </w:tcMar>
          </w:tcPr>
          <w:p>
            <w:pPr>
              <w:spacing w:after="0" w:line="240" w:lineRule="auto"/>
            </w:pPr>
            <w:r>
              <w:rPr>
                <w:rFonts w:ascii="Calibri" w:hAnsi="Calibri"/>
                <w:color w:val="1F2937"/>
                <w:sz w:val="17"/>
              </w:rPr>
              <w:t>Default 25, maximum 100; stable ordering. Map endpoints cap features/vertices and require bounds or a suburb ID.</w:t>
            </w:r>
          </w:p>
        </w:tc>
      </w:tr>
      <w:tr>
        <w:trPr>
          <w:cantSplit/>
        </w:trPr>
        <w:tc>
          <w:tcPr>
            <w:tcW w:type="dxa" w:w="2100"/>
            <w:vAlign w:val="center"/>
            <w:tcMar>
              <w:top w:w="80" w:type="dxa"/>
              <w:start w:w="120" w:type="dxa"/>
              <w:bottom w:w="80" w:type="dxa"/>
              <w:end w:w="120" w:type="dxa"/>
            </w:tcMar>
          </w:tcPr>
          <w:p>
            <w:pPr>
              <w:spacing w:after="0" w:line="240" w:lineRule="auto"/>
            </w:pPr>
            <w:r>
              <w:rPr>
                <w:rFonts w:ascii="Calibri" w:hAnsi="Calibri"/>
                <w:color w:val="1F2937"/>
                <w:sz w:val="17"/>
              </w:rPr>
              <w:t>Timeouts</w:t>
            </w:r>
          </w:p>
        </w:tc>
        <w:tc>
          <w:tcPr>
            <w:tcW w:type="dxa" w:w="7260"/>
            <w:vAlign w:val="center"/>
            <w:tcMar>
              <w:top w:w="80" w:type="dxa"/>
              <w:start w:w="120" w:type="dxa"/>
              <w:bottom w:w="80" w:type="dxa"/>
              <w:end w:w="120" w:type="dxa"/>
            </w:tcMar>
          </w:tcPr>
          <w:p>
            <w:pPr>
              <w:spacing w:after="0" w:line="240" w:lineRule="auto"/>
            </w:pPr>
            <w:r>
              <w:rPr>
                <w:rFonts w:ascii="Calibri" w:hAnsi="Calibri"/>
                <w:color w:val="1F2937"/>
                <w:sz w:val="17"/>
              </w:rPr>
              <w:t>Cross-feature connect 1 s and read 2-5 s; no unbounded retries; one retry only for an explicitly idempotent transient read.</w:t>
            </w:r>
          </w:p>
        </w:tc>
      </w:tr>
      <w:tr>
        <w:trPr>
          <w:cantSplit/>
        </w:trPr>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7"/>
              </w:rPr>
              <w:t>Caching</w:t>
            </w:r>
          </w:p>
        </w:tc>
        <w:tc>
          <w:tcPr>
            <w:tcW w:type="dxa" w:w="7260"/>
            <w:vAlign w:val="center"/>
            <w:shd w:fill="F8FAFC"/>
            <w:tcMar>
              <w:top w:w="80" w:type="dxa"/>
              <w:start w:w="120" w:type="dxa"/>
              <w:bottom w:w="80" w:type="dxa"/>
              <w:end w:w="120" w:type="dxa"/>
            </w:tcMar>
          </w:tcPr>
          <w:p>
            <w:pPr>
              <w:spacing w:after="0" w:line="240" w:lineRule="auto"/>
            </w:pPr>
            <w:r>
              <w:rPr>
                <w:rFonts w:ascii="Calibri" w:hAnsi="Calibri"/>
                <w:color w:val="1F2937"/>
                <w:sz w:val="17"/>
              </w:rPr>
              <w:t>ETag by accepted release and query; short TTL for public projections; cache keys include release/method/cohort; no cache for private notes.</w:t>
            </w:r>
          </w:p>
        </w:tc>
      </w:tr>
      <w:tr>
        <w:trPr>
          <w:cantSplit/>
        </w:trPr>
        <w:tc>
          <w:tcPr>
            <w:tcW w:type="dxa" w:w="2100"/>
            <w:vAlign w:val="center"/>
            <w:tcMar>
              <w:top w:w="80" w:type="dxa"/>
              <w:start w:w="120" w:type="dxa"/>
              <w:bottom w:w="80" w:type="dxa"/>
              <w:end w:w="120" w:type="dxa"/>
            </w:tcMar>
          </w:tcPr>
          <w:p>
            <w:pPr>
              <w:spacing w:after="0" w:line="240" w:lineRule="auto"/>
            </w:pPr>
            <w:r>
              <w:rPr>
                <w:rFonts w:ascii="Calibri" w:hAnsi="Calibri"/>
                <w:color w:val="1F2937"/>
                <w:sz w:val="17"/>
              </w:rPr>
              <w:t>Degradation</w:t>
            </w:r>
          </w:p>
        </w:tc>
        <w:tc>
          <w:tcPr>
            <w:tcW w:type="dxa" w:w="7260"/>
            <w:vAlign w:val="center"/>
            <w:tcMar>
              <w:top w:w="80" w:type="dxa"/>
              <w:start w:w="120" w:type="dxa"/>
              <w:bottom w:w="80" w:type="dxa"/>
              <w:end w:w="120" w:type="dxa"/>
            </w:tcMar>
          </w:tcPr>
          <w:p>
            <w:pPr>
              <w:spacing w:after="0" w:line="240" w:lineRule="auto"/>
            </w:pPr>
            <w:r>
              <w:rPr>
                <w:rFonts w:ascii="Calibri" w:hAnsi="Calibri"/>
                <w:color w:val="1F2937"/>
                <w:sz w:val="17"/>
              </w:rPr>
              <w:t>Independent section states; one missing dataset does not blank the profile. AI unavailability never blocks CRUD or evidence reads.</w:t>
            </w:r>
          </w:p>
        </w:tc>
      </w:tr>
      <w:tr>
        <w:trPr>
          <w:cantSplit/>
        </w:trPr>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7"/>
              </w:rPr>
              <w:t>Logs/traces</w:t>
            </w:r>
          </w:p>
        </w:tc>
        <w:tc>
          <w:tcPr>
            <w:tcW w:type="dxa" w:w="7260"/>
            <w:vAlign w:val="center"/>
            <w:shd w:fill="F8FAFC"/>
            <w:tcMar>
              <w:top w:w="80" w:type="dxa"/>
              <w:start w:w="120" w:type="dxa"/>
              <w:bottom w:w="80" w:type="dxa"/>
              <w:end w:w="120" w:type="dxa"/>
            </w:tcMar>
          </w:tcPr>
          <w:p>
            <w:pPr>
              <w:spacing w:after="0" w:line="240" w:lineRule="auto"/>
            </w:pPr>
            <w:r>
              <w:rPr>
                <w:rFonts w:ascii="Calibri" w:hAnsi="Calibri"/>
                <w:color w:val="1F2937"/>
                <w:sz w:val="17"/>
              </w:rPr>
              <w:t>Structured request_id, release_id, ingestion_run_id, agent_run_id, route, status, latency, and safe row counts; no notes or raw prompts.</w:t>
            </w:r>
          </w:p>
        </w:tc>
      </w:tr>
      <w:tr>
        <w:trPr>
          <w:cantSplit/>
        </w:trPr>
        <w:tc>
          <w:tcPr>
            <w:tcW w:type="dxa" w:w="2100"/>
            <w:vAlign w:val="center"/>
            <w:tcMar>
              <w:top w:w="80" w:type="dxa"/>
              <w:start w:w="120" w:type="dxa"/>
              <w:bottom w:w="80" w:type="dxa"/>
              <w:end w:w="120" w:type="dxa"/>
            </w:tcMar>
          </w:tcPr>
          <w:p>
            <w:pPr>
              <w:spacing w:after="0" w:line="240" w:lineRule="auto"/>
            </w:pPr>
            <w:r>
              <w:rPr>
                <w:rFonts w:ascii="Calibri" w:hAnsi="Calibri"/>
                <w:color w:val="1F2937"/>
                <w:sz w:val="17"/>
              </w:rPr>
              <w:t>Health</w:t>
            </w:r>
          </w:p>
        </w:tc>
        <w:tc>
          <w:tcPr>
            <w:tcW w:type="dxa" w:w="7260"/>
            <w:vAlign w:val="center"/>
            <w:tcMar>
              <w:top w:w="80" w:type="dxa"/>
              <w:start w:w="120" w:type="dxa"/>
              <w:bottom w:w="80" w:type="dxa"/>
              <w:end w:w="120" w:type="dxa"/>
            </w:tcMar>
          </w:tcPr>
          <w:p>
            <w:pPr>
              <w:spacing w:after="0" w:line="240" w:lineRule="auto"/>
            </w:pPr>
            <w:r>
              <w:rPr>
                <w:rFonts w:ascii="Calibri" w:hAnsi="Calibri"/>
                <w:color w:val="1F2937"/>
                <w:sz w:val="17"/>
              </w:rPr>
              <w:t>Live checks process only; ready checks migration/store plus configured required dependencies and reports optional dependency degradation.</w:t>
            </w:r>
          </w:p>
        </w:tc>
      </w:tr>
      <w:tr>
        <w:trPr>
          <w:cantSplit/>
        </w:trPr>
        <w:tc>
          <w:tcPr>
            <w:tcW w:type="dxa" w:w="2100"/>
            <w:vAlign w:val="center"/>
            <w:shd w:fill="F8FAFC"/>
            <w:tcMar>
              <w:top w:w="80" w:type="dxa"/>
              <w:start w:w="120" w:type="dxa"/>
              <w:bottom w:w="80" w:type="dxa"/>
              <w:end w:w="120" w:type="dxa"/>
            </w:tcMar>
          </w:tcPr>
          <w:p>
            <w:pPr>
              <w:spacing w:after="0" w:line="240" w:lineRule="auto"/>
            </w:pPr>
            <w:r>
              <w:rPr>
                <w:rFonts w:ascii="Calibri" w:hAnsi="Calibri"/>
                <w:color w:val="1F2937"/>
                <w:sz w:val="17"/>
              </w:rPr>
              <w:t>Backup/cloud</w:t>
            </w:r>
          </w:p>
        </w:tc>
        <w:tc>
          <w:tcPr>
            <w:tcW w:type="dxa" w:w="7260"/>
            <w:vAlign w:val="center"/>
            <w:shd w:fill="F8FAFC"/>
            <w:tcMar>
              <w:top w:w="80" w:type="dxa"/>
              <w:start w:w="120" w:type="dxa"/>
              <w:bottom w:w="80" w:type="dxa"/>
              <w:end w:w="120" w:type="dxa"/>
            </w:tcMar>
          </w:tcPr>
          <w:p>
            <w:pPr>
              <w:spacing w:after="0" w:line="240" w:lineRule="auto"/>
            </w:pPr>
            <w:r>
              <w:rPr>
                <w:rFonts w:ascii="Calibri" w:hAnsi="Calibri"/>
                <w:color w:val="1F2937"/>
                <w:sz w:val="17"/>
              </w:rPr>
              <w:t>One database-service replica and exclusive volume. Use SQLite online backup or stopped-service copy; document Azure Files limitations.</w:t>
            </w:r>
          </w:p>
        </w:tc>
      </w:tr>
    </w:tbl>
    <w:p>
      <w:pPr>
        <w:spacing w:after="40"/>
      </w:pPr>
    </w:p>
    <w:p>
      <w:r>
        <w:br w:type="page"/>
      </w:r>
    </w:p>
    <w:p>
      <w:pPr>
        <w:pStyle w:val="Heading1"/>
      </w:pPr>
      <w:r>
        <w:t>Delivery roadmap and evidence</w:t>
      </w:r>
    </w:p>
    <w:p>
      <w:r>
        <w:rPr>
          <w:rFonts w:ascii="Calibri" w:hAnsi="Calibri"/>
        </w:rPr>
        <w:t>Sequence delivery as thin, demonstrable slices. The release labels below describe capability progression; repository status and team dates should be checked before committing sprint dates.</w:t>
      </w:r>
    </w:p>
    <w:tbl>
      <w:tblPr>
        <w:tblStyle w:val="TableGrid"/>
        <w:tblW w:type="dxa" w:w="9360"/>
        <w:jc w:val="left"/>
        <w:tblLayout w:type="fixed"/>
        <w:tblLook w:firstColumn="1" w:firstRow="1" w:lastColumn="0" w:lastRow="0" w:noHBand="0" w:noVBand="1" w:val="04A0"/>
        <w:tblInd w:w="120" w:type="dxa"/>
      </w:tblPr>
      <w:tblGrid>
        <w:gridCol w:w="1250"/>
        <w:gridCol w:w="1750"/>
        <w:gridCol w:w="3800"/>
        <w:gridCol w:w="2560"/>
      </w:tblGrid>
      <w:tr>
        <w:trPr>
          <w:tblHeader w:val="true"/>
          <w:cantSplit/>
        </w:trPr>
        <w:tc>
          <w:tcPr>
            <w:tcW w:type="dxa" w:w="125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Phase</w:t>
            </w:r>
          </w:p>
        </w:tc>
        <w:tc>
          <w:tcPr>
            <w:tcW w:type="dxa" w:w="175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Outcome</w:t>
            </w:r>
          </w:p>
        </w:tc>
        <w:tc>
          <w:tcPr>
            <w:tcW w:type="dxa" w:w="38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Major work</w:t>
            </w:r>
          </w:p>
        </w:tc>
        <w:tc>
          <w:tcPr>
            <w:tcW w:type="dxa" w:w="25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Evidence / exit gate</w:t>
            </w:r>
          </w:p>
        </w:tc>
      </w:tr>
      <w:tr>
        <w:trPr>
          <w:cantSplit/>
        </w:trPr>
        <w:tc>
          <w:tcPr>
            <w:tcW w:type="dxa" w:w="1250"/>
            <w:vAlign w:val="center"/>
            <w:tcMar>
              <w:top w:w="80" w:type="dxa"/>
              <w:start w:w="120" w:type="dxa"/>
              <w:bottom w:w="80" w:type="dxa"/>
              <w:end w:w="120" w:type="dxa"/>
            </w:tcMar>
          </w:tcPr>
          <w:p>
            <w:pPr>
              <w:spacing w:after="0" w:line="240" w:lineRule="auto"/>
            </w:pPr>
            <w:r>
              <w:rPr>
                <w:rFonts w:ascii="Calibri" w:hAnsi="Calibri"/>
                <w:color w:val="1F2937"/>
                <w:sz w:val="16"/>
              </w:rPr>
              <w:t>Foundation</w:t>
            </w:r>
          </w:p>
        </w:tc>
        <w:tc>
          <w:tcPr>
            <w:tcW w:type="dxa" w:w="1750"/>
            <w:vAlign w:val="center"/>
            <w:tcMar>
              <w:top w:w="80" w:type="dxa"/>
              <w:start w:w="120" w:type="dxa"/>
              <w:bottom w:w="80" w:type="dxa"/>
              <w:end w:w="120" w:type="dxa"/>
            </w:tcMar>
          </w:tcPr>
          <w:p>
            <w:pPr>
              <w:spacing w:after="0" w:line="240" w:lineRule="auto"/>
            </w:pPr>
            <w:r>
              <w:rPr>
                <w:rFonts w:ascii="Calibri" w:hAnsi="Calibri"/>
                <w:color w:val="1F2937"/>
                <w:sz w:val="16"/>
              </w:rPr>
              <w:t>Feature 3 contract and runnable skeleton</w:t>
            </w:r>
          </w:p>
        </w:tc>
        <w:tc>
          <w:tcPr>
            <w:tcW w:type="dxa" w:w="3800"/>
            <w:vAlign w:val="center"/>
            <w:tcMar>
              <w:top w:w="80" w:type="dxa"/>
              <w:start w:w="120" w:type="dxa"/>
              <w:bottom w:w="80" w:type="dxa"/>
              <w:end w:w="120" w:type="dxa"/>
            </w:tcMar>
          </w:tcPr>
          <w:p>
            <w:pPr>
              <w:spacing w:after="0" w:line="240" w:lineRule="auto"/>
            </w:pPr>
            <w:r>
              <w:rPr>
                <w:rFonts w:ascii="Calibri" w:hAnsi="Calibri"/>
                <w:color w:val="1F2937"/>
                <w:sz w:val="16"/>
              </w:rPr>
              <w:t>feature.yaml; frontend/backend/database targets; health; OpenAPI; SQLite migration/seed; shared route/styles; CI path</w:t>
            </w:r>
          </w:p>
        </w:tc>
        <w:tc>
          <w:tcPr>
            <w:tcW w:type="dxa" w:w="2560"/>
            <w:vAlign w:val="center"/>
            <w:tcMar>
              <w:top w:w="80" w:type="dxa"/>
              <w:start w:w="120" w:type="dxa"/>
              <w:bottom w:w="80" w:type="dxa"/>
              <w:end w:w="120" w:type="dxa"/>
            </w:tcMar>
          </w:tcPr>
          <w:p>
            <w:pPr>
              <w:spacing w:after="0" w:line="240" w:lineRule="auto"/>
            </w:pPr>
            <w:r>
              <w:rPr>
                <w:rFonts w:ascii="Calibri" w:hAnsi="Calibri"/>
                <w:color w:val="1F2937"/>
                <w:sz w:val="16"/>
              </w:rPr>
              <w:t>Manifest and architecture validation; three containers healthy; 10+ records/table; public route enabled only when complete</w:t>
            </w:r>
          </w:p>
        </w:tc>
      </w:tr>
      <w:tr>
        <w:trPr>
          <w:cantSplit/>
        </w:trPr>
        <w:tc>
          <w:tcPr>
            <w:tcW w:type="dxa" w:w="1250"/>
            <w:vAlign w:val="center"/>
            <w:shd w:fill="F8FAFC"/>
            <w:tcMar>
              <w:top w:w="80" w:type="dxa"/>
              <w:start w:w="120" w:type="dxa"/>
              <w:bottom w:w="80" w:type="dxa"/>
              <w:end w:w="120" w:type="dxa"/>
            </w:tcMar>
          </w:tcPr>
          <w:p>
            <w:pPr>
              <w:spacing w:after="0" w:line="240" w:lineRule="auto"/>
            </w:pPr>
            <w:r>
              <w:rPr>
                <w:rFonts w:ascii="Calibri" w:hAnsi="Calibri"/>
                <w:color w:val="1F2937"/>
                <w:sz w:val="16"/>
              </w:rPr>
              <w:t>Deterministic MVP</w:t>
            </w:r>
          </w:p>
        </w:tc>
        <w:tc>
          <w:tcPr>
            <w:tcW w:type="dxa" w:w="1750"/>
            <w:vAlign w:val="center"/>
            <w:shd w:fill="F8FAFC"/>
            <w:tcMar>
              <w:top w:w="80" w:type="dxa"/>
              <w:start w:w="120" w:type="dxa"/>
              <w:bottom w:w="80" w:type="dxa"/>
              <w:end w:w="120" w:type="dxa"/>
            </w:tcMar>
          </w:tcPr>
          <w:p>
            <w:pPr>
              <w:spacing w:after="0" w:line="240" w:lineRule="auto"/>
            </w:pPr>
            <w:r>
              <w:rPr>
                <w:rFonts w:ascii="Calibri" w:hAnsi="Calibri"/>
                <w:color w:val="1F2937"/>
                <w:sz w:val="16"/>
              </w:rPr>
              <w:t>Explore, profile, crime, amenities, compare, saved CRUD</w:t>
            </w:r>
          </w:p>
        </w:tc>
        <w:tc>
          <w:tcPr>
            <w:tcW w:type="dxa" w:w="3800"/>
            <w:vAlign w:val="center"/>
            <w:shd w:fill="F8FAFC"/>
            <w:tcMar>
              <w:top w:w="80" w:type="dxa"/>
              <w:start w:w="120" w:type="dxa"/>
              <w:bottom w:w="80" w:type="dxa"/>
              <w:end w:w="120" w:type="dxa"/>
            </w:tcMar>
          </w:tcPr>
          <w:p>
            <w:pPr>
              <w:spacing w:after="0" w:line="240" w:lineRule="auto"/>
            </w:pPr>
            <w:r>
              <w:rPr>
                <w:rFonts w:ascii="Calibri" w:hAnsi="Calibri"/>
                <w:color w:val="1F2937"/>
                <w:sz w:val="16"/>
              </w:rPr>
              <w:t>D1-D6/D8 frozen fixture then approved ingest; REST/HTMX/JS views; charts/map/list; auth abstraction; optimistic concurrency</w:t>
            </w:r>
          </w:p>
        </w:tc>
        <w:tc>
          <w:tcPr>
            <w:tcW w:type="dxa" w:w="2560"/>
            <w:vAlign w:val="center"/>
            <w:shd w:fill="F8FAFC"/>
            <w:tcMar>
              <w:top w:w="80" w:type="dxa"/>
              <w:start w:w="120" w:type="dxa"/>
              <w:bottom w:w="80" w:type="dxa"/>
              <w:end w:w="120" w:type="dxa"/>
            </w:tcMar>
          </w:tcPr>
          <w:p>
            <w:pPr>
              <w:spacing w:after="0" w:line="240" w:lineRule="auto"/>
            </w:pPr>
            <w:r>
              <w:rPr>
                <w:rFonts w:ascii="Calibri" w:hAnsi="Calibri"/>
                <w:color w:val="1F2937"/>
                <w:sz w:val="16"/>
              </w:rPr>
              <w:t>Unit/contract/component/E2E tests; accessibility and responsive screenshots; AI-mode may be unavailable</w:t>
            </w:r>
          </w:p>
        </w:tc>
      </w:tr>
      <w:tr>
        <w:trPr>
          <w:cantSplit/>
        </w:trPr>
        <w:tc>
          <w:tcPr>
            <w:tcW w:type="dxa" w:w="1250"/>
            <w:vAlign w:val="center"/>
            <w:tcMar>
              <w:top w:w="80" w:type="dxa"/>
              <w:start w:w="120" w:type="dxa"/>
              <w:bottom w:w="80" w:type="dxa"/>
              <w:end w:w="120" w:type="dxa"/>
            </w:tcMar>
          </w:tcPr>
          <w:p>
            <w:pPr>
              <w:spacing w:after="0" w:line="240" w:lineRule="auto"/>
            </w:pPr>
            <w:r>
              <w:rPr>
                <w:rFonts w:ascii="Calibri" w:hAnsi="Calibri"/>
                <w:color w:val="1F2937"/>
                <w:sz w:val="16"/>
              </w:rPr>
              <w:t>Agentic + Release 1</w:t>
            </w:r>
          </w:p>
        </w:tc>
        <w:tc>
          <w:tcPr>
            <w:tcW w:type="dxa" w:w="1750"/>
            <w:vAlign w:val="center"/>
            <w:tcMar>
              <w:top w:w="80" w:type="dxa"/>
              <w:start w:w="120" w:type="dxa"/>
              <w:bottom w:w="80" w:type="dxa"/>
              <w:end w:w="120" w:type="dxa"/>
            </w:tcMar>
          </w:tcPr>
          <w:p>
            <w:pPr>
              <w:spacing w:after="0" w:line="240" w:lineRule="auto"/>
            </w:pPr>
            <w:r>
              <w:rPr>
                <w:rFonts w:ascii="Calibri" w:hAnsi="Calibri"/>
                <w:color w:val="1F2937"/>
                <w:sz w:val="16"/>
              </w:rPr>
              <w:t>Grounded evidence explanation</w:t>
            </w:r>
          </w:p>
        </w:tc>
        <w:tc>
          <w:tcPr>
            <w:tcW w:type="dxa" w:w="3800"/>
            <w:vAlign w:val="center"/>
            <w:tcMar>
              <w:top w:w="80" w:type="dxa"/>
              <w:start w:w="120" w:type="dxa"/>
              <w:bottom w:w="80" w:type="dxa"/>
              <w:end w:w="120" w:type="dxa"/>
            </w:tcMar>
          </w:tcPr>
          <w:p>
            <w:pPr>
              <w:spacing w:after="0" w:line="240" w:lineRule="auto"/>
            </w:pPr>
            <w:r>
              <w:rPr>
                <w:rFonts w:ascii="Calibri" w:hAnsi="Calibri"/>
                <w:color w:val="1F2937"/>
                <w:sz w:val="16"/>
              </w:rPr>
              <w:t>Tool catalogue; bounded Plan-Act-Observe-Adapt; source/method RAG corpus; MCP adapter over existing tools</w:t>
            </w:r>
          </w:p>
        </w:tc>
        <w:tc>
          <w:tcPr>
            <w:tcW w:type="dxa" w:w="2560"/>
            <w:vAlign w:val="center"/>
            <w:tcMar>
              <w:top w:w="80" w:type="dxa"/>
              <w:start w:w="120" w:type="dxa"/>
              <w:bottom w:w="80" w:type="dxa"/>
              <w:end w:w="120" w:type="dxa"/>
            </w:tcMar>
          </w:tcPr>
          <w:p>
            <w:pPr>
              <w:spacing w:after="0" w:line="240" w:lineRule="auto"/>
            </w:pPr>
            <w:r>
              <w:rPr>
                <w:rFonts w:ascii="Calibri" w:hAnsi="Calibri"/>
                <w:color w:val="1F2937"/>
                <w:sz w:val="16"/>
              </w:rPr>
              <w:t>Fake-model tests; tool/evidence/run traces; grounded response evidence; MCP/RAG enabled locally</w:t>
            </w:r>
          </w:p>
        </w:tc>
      </w:tr>
      <w:tr>
        <w:trPr>
          <w:cantSplit/>
        </w:trPr>
        <w:tc>
          <w:tcPr>
            <w:tcW w:type="dxa" w:w="1250"/>
            <w:vAlign w:val="center"/>
            <w:shd w:fill="F8FAFC"/>
            <w:tcMar>
              <w:top w:w="80" w:type="dxa"/>
              <w:start w:w="120" w:type="dxa"/>
              <w:bottom w:w="80" w:type="dxa"/>
              <w:end w:w="120" w:type="dxa"/>
            </w:tcMar>
          </w:tcPr>
          <w:p>
            <w:pPr>
              <w:spacing w:after="0" w:line="240" w:lineRule="auto"/>
            </w:pPr>
            <w:r>
              <w:rPr>
                <w:rFonts w:ascii="Calibri" w:hAnsi="Calibri"/>
                <w:color w:val="1F2937"/>
                <w:sz w:val="16"/>
              </w:rPr>
              <w:t>Hardening + Release 2</w:t>
            </w:r>
          </w:p>
        </w:tc>
        <w:tc>
          <w:tcPr>
            <w:tcW w:type="dxa" w:w="1750"/>
            <w:vAlign w:val="center"/>
            <w:shd w:fill="F8FAFC"/>
            <w:tcMar>
              <w:top w:w="80" w:type="dxa"/>
              <w:start w:w="120" w:type="dxa"/>
              <w:bottom w:w="80" w:type="dxa"/>
              <w:end w:w="120" w:type="dxa"/>
            </w:tcMar>
          </w:tcPr>
          <w:p>
            <w:pPr>
              <w:spacing w:after="0" w:line="240" w:lineRule="auto"/>
            </w:pPr>
            <w:r>
              <w:rPr>
                <w:rFonts w:ascii="Calibri" w:hAnsi="Calibri"/>
                <w:color w:val="1F2937"/>
                <w:sz w:val="16"/>
              </w:rPr>
              <w:t>Reviewed multi-agent local path and cloud-ready deterministic feature</w:t>
            </w:r>
          </w:p>
        </w:tc>
        <w:tc>
          <w:tcPr>
            <w:tcW w:type="dxa" w:w="3800"/>
            <w:vAlign w:val="center"/>
            <w:shd w:fill="F8FAFC"/>
            <w:tcMar>
              <w:top w:w="80" w:type="dxa"/>
              <w:start w:w="120" w:type="dxa"/>
              <w:bottom w:w="80" w:type="dxa"/>
              <w:end w:w="120" w:type="dxa"/>
            </w:tcMar>
          </w:tcPr>
          <w:p>
            <w:pPr>
              <w:spacing w:after="0" w:line="240" w:lineRule="auto"/>
            </w:pPr>
            <w:r>
              <w:rPr>
                <w:rFonts w:ascii="Calibri" w:hAnsi="Calibri"/>
                <w:color w:val="1F2937"/>
                <w:sz w:val="16"/>
              </w:rPr>
              <w:t>Planner/Worker/Reviewer integration; human review where required; load/security/recovery; Azure configuration; disabled advanced services assertion</w:t>
            </w:r>
          </w:p>
        </w:tc>
        <w:tc>
          <w:tcPr>
            <w:tcW w:type="dxa" w:w="2560"/>
            <w:vAlign w:val="center"/>
            <w:shd w:fill="F8FAFC"/>
            <w:tcMar>
              <w:top w:w="80" w:type="dxa"/>
              <w:start w:w="120" w:type="dxa"/>
              <w:bottom w:w="80" w:type="dxa"/>
              <w:end w:w="120" w:type="dxa"/>
            </w:tcMar>
          </w:tcPr>
          <w:p>
            <w:pPr>
              <w:spacing w:after="0" w:line="240" w:lineRule="auto"/>
            </w:pPr>
            <w:r>
              <w:rPr>
                <w:rFonts w:ascii="Calibri" w:hAnsi="Calibri"/>
                <w:color w:val="1F2937"/>
                <w:sz w:val="16"/>
              </w:rPr>
              <w:t>Pre/post testing evidence; cloud smoke; persistence/backup test; MCP/RAG/multi-agent absent in cloud graph</w:t>
            </w:r>
          </w:p>
        </w:tc>
      </w:tr>
    </w:tbl>
    <w:p>
      <w:pPr>
        <w:spacing w:after="40"/>
      </w:pPr>
    </w:p>
    <w:p>
      <w:pPr>
        <w:pStyle w:val="Heading2"/>
      </w:pPr>
      <w:r>
        <w:t>Recommended work breakdown</w:t>
      </w:r>
    </w:p>
    <w:p>
      <w:pPr>
        <w:numPr>
          <w:ilvl w:val="0"/>
          <w:numId w:val="13"/>
        </w:numPr>
        <w:spacing w:after="160" w:line="280" w:lineRule="auto"/>
      </w:pPr>
      <w:r>
        <w:rPr>
          <w:rFonts w:ascii="Calibri" w:hAnsi="Calibri"/>
        </w:rPr>
        <w:t>Contract first: approve metric dictionary, geography identity, public route list, error/envelope examples, and database-service contract.</w:t>
      </w:r>
    </w:p>
    <w:p>
      <w:pPr>
        <w:numPr>
          <w:ilvl w:val="0"/>
          <w:numId w:val="13"/>
        </w:numPr>
        <w:spacing w:after="160" w:line="280" w:lineRule="auto"/>
      </w:pPr>
      <w:r>
        <w:rPr>
          <w:rFonts w:ascii="Calibri" w:hAnsi="Calibri"/>
        </w:rPr>
        <w:t>Vertical slice: ten-suburb deterministic fixture -&gt; explore -&gt; profile -&gt; save/remove -&gt; one end-to-end container test.</w:t>
      </w:r>
    </w:p>
    <w:p>
      <w:pPr>
        <w:numPr>
          <w:ilvl w:val="0"/>
          <w:numId w:val="13"/>
        </w:numPr>
        <w:spacing w:after="160" w:line="280" w:lineRule="auto"/>
      </w:pPr>
      <w:r>
        <w:rPr>
          <w:rFonts w:ascii="Calibri" w:hAnsi="Calibri"/>
        </w:rPr>
        <w:t>Crime slice: ingest BOCSAR fixture, trend and category visuals, period validation, zero/missing semantics, source drawer.</w:t>
      </w:r>
    </w:p>
    <w:p>
      <w:pPr>
        <w:numPr>
          <w:ilvl w:val="0"/>
          <w:numId w:val="13"/>
        </w:numPr>
        <w:spacing w:after="160" w:line="280" w:lineRule="auto"/>
      </w:pPr>
      <w:r>
        <w:rPr>
          <w:rFonts w:ascii="Calibri" w:hAnsi="Calibri"/>
        </w:rPr>
        <w:t>Amenity/transport slice: school/POI/GTFS ingestion, offline point assignment, map/list, bounded GeoJSON, access summaries.</w:t>
      </w:r>
    </w:p>
    <w:p>
      <w:pPr>
        <w:numPr>
          <w:ilvl w:val="0"/>
          <w:numId w:val="13"/>
        </w:numPr>
        <w:spacing w:after="160" w:line="280" w:lineRule="auto"/>
      </w:pPr>
      <w:r>
        <w:rPr>
          <w:rFonts w:ascii="Calibri" w:hAnsi="Calibri"/>
        </w:rPr>
        <w:t>Compare and indicators: aligned comparison endpoint, raw metrics, display percentile method, data table and chart accessibility.</w:t>
      </w:r>
    </w:p>
    <w:p>
      <w:pPr>
        <w:numPr>
          <w:ilvl w:val="0"/>
          <w:numId w:val="13"/>
        </w:numPr>
        <w:spacing w:after="160" w:line="280" w:lineRule="auto"/>
      </w:pPr>
      <w:r>
        <w:rPr>
          <w:rFonts w:ascii="Calibri" w:hAnsi="Calibri"/>
        </w:rPr>
        <w:t>Operator pipeline: source registry, preview, candidate validation, accept/reject, accepted pointer, rollback and quality report.</w:t>
      </w:r>
    </w:p>
    <w:p>
      <w:pPr>
        <w:numPr>
          <w:ilvl w:val="0"/>
          <w:numId w:val="13"/>
        </w:numPr>
        <w:spacing w:after="160" w:line="280" w:lineRule="auto"/>
      </w:pPr>
      <w:r>
        <w:rPr>
          <w:rFonts w:ascii="Calibri" w:hAnsi="Calibri"/>
        </w:rPr>
        <w:t>AI slice: read tools, fake-provider run, evidence checking, adaptation on missing data, final limitation language and run-detail link.</w:t>
      </w:r>
    </w:p>
    <w:p>
      <w:pPr>
        <w:numPr>
          <w:ilvl w:val="0"/>
          <w:numId w:val="13"/>
        </w:numPr>
        <w:spacing w:after="160" w:line="280" w:lineRule="auto"/>
      </w:pPr>
      <w:r>
        <w:rPr>
          <w:rFonts w:ascii="Calibri" w:hAnsi="Calibri"/>
        </w:rPr>
        <w:t>Integration and hardening: shared route/style contract, Feature 1 validation seam, Feature 5 section, CI, Docker Compose, accessibility, load and recovery tests.</w:t>
      </w:r>
    </w:p>
    <w:p>
      <w:pPr>
        <w:pStyle w:val="Heading2"/>
      </w:pPr>
      <w:r>
        <w:t>Definition of implementation evidence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Evidence</w:t>
            </w:r>
          </w:p>
        </w:tc>
        <w:tc>
          <w:tcPr>
            <w:tcW w:type="dxa" w:w="74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Minimum artifact</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Requirements</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Traceability matrix from F3-FR IDs to tests, routes, tables, and screenshots</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Architecture</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Feature service diagram, request flow, database model, deployment projection, and boundary validation output</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Data</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Source register, licence review, schema snapshots, checksums, match/coverage report, accepted release receipt</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Testing</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pytest/contract results, coverage, frontend behaviour tests, Playwright evidence, accessibility audit, failure-state tests</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Agentic</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Plan-Act-Observe-Adapt run detail with safe phase summaries, tool calls, evidence IDs, adaptation, and final response</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DevOps</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student-3 workflow run, Docker build/health, root Compose integration, request-ID trace, cloud smoke when applicable</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Contribution</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Focused commits/PRs, review links, known issues, screenshots, and demonstration script</w:t>
            </w:r>
          </w:p>
        </w:tc>
      </w:tr>
    </w:tbl>
    <w:p>
      <w:pPr>
        <w:spacing w:after="40"/>
      </w:pPr>
    </w:p>
    <w:p>
      <w:r>
        <w:br w:type="page"/>
      </w:r>
    </w:p>
    <w:p>
      <w:pPr>
        <w:pStyle w:val="Heading1"/>
      </w:pPr>
      <w:r>
        <w:t>Testing, risks, decisions, and definition of done</w:t>
      </w:r>
    </w:p>
    <w:p>
      <w:pPr>
        <w:pStyle w:val="Heading2"/>
      </w:pPr>
      <w:r>
        <w:t>Test strategy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Layer</w:t>
            </w:r>
          </w:p>
        </w:tc>
        <w:tc>
          <w:tcPr>
            <w:tcW w:type="dxa" w:w="74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7"/>
              </w:rPr>
              <w:t>Coverage</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Domain/unit</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7"/>
              </w:rPr>
              <w:t>Date windows, offence aggregation, percentile/ties, coverage gates, source freshness, zero/missing, list ownership, row versions</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7"/>
              </w:rPr>
              <w:t>Property-based</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7"/>
              </w:rPr>
              <w:t>Filter combinations, pagination stability, invalid transitions, geographic bounds, idempotency, aggregation invariants</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Contract/schema</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7"/>
              </w:rPr>
              <w:t>OpenAPI 3.1, examples, Problem Details, headers, evidence envelope, tool JSON Schemas, Feature 5 section fixture</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7"/>
              </w:rPr>
              <w:t>Component</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7"/>
              </w:rPr>
              <w:t>Flask backend with fake DB/AI/Feature 1 clients; database API with real temporary SQLite and migrations</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Data pipeline</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7"/>
              </w:rPr>
              <w:t>Golden files for each publisher; malformed archive/workbook; duplicate and partial data; ambiguous matches; atomic rollback</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7"/>
              </w:rPr>
              <w:t>Frontend</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7"/>
              </w:rPr>
              <w:t>Filter state, sorting, chart/table parity, map/list parity, saved CRUD conflicts, focus/error behaviour, mobile layouts</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Compose integration</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7"/>
              </w:rPr>
              <w:t>Edge -&gt; frontend -&gt; backend -&gt; database; backend -&gt; AI-mode -&gt; tool callback -&gt; database; health and request IDs</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7"/>
              </w:rPr>
              <w:t>Security</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7"/>
              </w:rPr>
              <w:t>Auth ownership, CSRF, injection, XSS/escaping, outbound allowlist, archive traversal, log redaction, rate/size limits</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7"/>
              </w:rPr>
              <w:t>Accessibility</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7"/>
              </w:rPr>
              <w:t>Automated audit plus keyboard/screen-reader-oriented manual checklist at representative viewports</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7"/>
              </w:rPr>
              <w:t>Evaluation</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7"/>
              </w:rPr>
              <w:t>Representative AI success, ambiguity, unavailable source, conflicting periods, provider outage, invalid tool, and loop-limit cases</w:t>
            </w:r>
          </w:p>
        </w:tc>
      </w:tr>
    </w:tbl>
    <w:p>
      <w:pPr>
        <w:spacing w:after="40"/>
      </w:pPr>
    </w:p>
    <w:p>
      <w:pPr>
        <w:pStyle w:val="Heading2"/>
      </w:pPr>
      <w:r>
        <w:t>Principal risks and mitigations</w:t>
      </w:r>
    </w:p>
    <w:tbl>
      <w:tblPr>
        <w:tblStyle w:val="TableGrid"/>
        <w:tblW w:type="dxa" w:w="9360"/>
        <w:jc w:val="left"/>
        <w:tblLayout w:type="fixed"/>
        <w:tblLook w:firstColumn="1" w:firstRow="1" w:lastColumn="0" w:lastRow="0" w:noHBand="0" w:noVBand="1" w:val="04A0"/>
        <w:tblInd w:w="120" w:type="dxa"/>
      </w:tblPr>
      <w:tblGrid>
        <w:gridCol w:w="1700"/>
        <w:gridCol w:w="2200"/>
        <w:gridCol w:w="3400"/>
        <w:gridCol w:w="2060"/>
      </w:tblGrid>
      <w:tr>
        <w:trPr>
          <w:tblHeader w:val="true"/>
          <w:cantSplit/>
        </w:trPr>
        <w:tc>
          <w:tcPr>
            <w:tcW w:type="dxa" w:w="17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Risk</w:t>
            </w:r>
          </w:p>
        </w:tc>
        <w:tc>
          <w:tcPr>
            <w:tcW w:type="dxa" w:w="22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Consequence</w:t>
            </w:r>
          </w:p>
        </w:tc>
        <w:tc>
          <w:tcPr>
            <w:tcW w:type="dxa" w:w="34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Mitigation</w:t>
            </w:r>
          </w:p>
        </w:tc>
        <w:tc>
          <w:tcPr>
            <w:tcW w:type="dxa" w:w="20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6"/>
              </w:rPr>
              <w:t>Owner / gate</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Geography mismatch</w:t>
            </w:r>
          </w:p>
        </w:tc>
        <w:tc>
          <w:tcPr>
            <w:tcW w:type="dxa" w:w="2200"/>
            <w:vAlign w:val="center"/>
            <w:tcMar>
              <w:top w:w="80" w:type="dxa"/>
              <w:start w:w="120" w:type="dxa"/>
              <w:bottom w:w="80" w:type="dxa"/>
              <w:end w:w="120" w:type="dxa"/>
            </w:tcMar>
          </w:tcPr>
          <w:p>
            <w:pPr>
              <w:spacing w:after="0" w:line="240" w:lineRule="auto"/>
            </w:pPr>
            <w:r>
              <w:rPr>
                <w:rFonts w:ascii="Calibri" w:hAnsi="Calibri"/>
                <w:color w:val="1F2937"/>
                <w:sz w:val="16"/>
              </w:rPr>
              <w:t>Wrong suburb joins or misleading comparisons</w:t>
            </w:r>
          </w:p>
        </w:tc>
        <w:tc>
          <w:tcPr>
            <w:tcW w:type="dxa" w:w="3400"/>
            <w:vAlign w:val="center"/>
            <w:tcMar>
              <w:top w:w="80" w:type="dxa"/>
              <w:start w:w="120" w:type="dxa"/>
              <w:bottom w:w="80" w:type="dxa"/>
              <w:end w:w="120" w:type="dxa"/>
            </w:tcMar>
          </w:tcPr>
          <w:p>
            <w:pPr>
              <w:spacing w:after="0" w:line="240" w:lineRule="auto"/>
            </w:pPr>
            <w:r>
              <w:rPr>
                <w:rFonts w:ascii="Calibri" w:hAnsi="Calibri"/>
                <w:color w:val="1F2937"/>
                <w:sz w:val="16"/>
              </w:rPr>
              <w:t>NSW identity anchor; versioned ABS/BOCSAR crosswalk; quarantine ambiguity; expose match evidence</w:t>
            </w:r>
          </w:p>
        </w:tc>
        <w:tc>
          <w:tcPr>
            <w:tcW w:type="dxa" w:w="2060"/>
            <w:vAlign w:val="center"/>
            <w:tcMar>
              <w:top w:w="80" w:type="dxa"/>
              <w:start w:w="120" w:type="dxa"/>
              <w:bottom w:w="80" w:type="dxa"/>
              <w:end w:w="120" w:type="dxa"/>
            </w:tcMar>
          </w:tcPr>
          <w:p>
            <w:pPr>
              <w:spacing w:after="0" w:line="240" w:lineRule="auto"/>
            </w:pPr>
            <w:r>
              <w:rPr>
                <w:rFonts w:ascii="Calibri" w:hAnsi="Calibri"/>
                <w:color w:val="1F2937"/>
                <w:sz w:val="16"/>
              </w:rPr>
              <w:t>Feature 3 data owner; source acceptance gate</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6"/>
              </w:rPr>
              <w:t>Crime misinterpretation</w:t>
            </w:r>
          </w:p>
        </w:tc>
        <w:tc>
          <w:tcPr>
            <w:tcW w:type="dxa" w:w="2200"/>
            <w:vAlign w:val="center"/>
            <w:shd w:fill="F8FAFC"/>
            <w:tcMar>
              <w:top w:w="80" w:type="dxa"/>
              <w:start w:w="120" w:type="dxa"/>
              <w:bottom w:w="80" w:type="dxa"/>
              <w:end w:w="120" w:type="dxa"/>
            </w:tcMar>
          </w:tcPr>
          <w:p>
            <w:pPr>
              <w:spacing w:after="0" w:line="240" w:lineRule="auto"/>
            </w:pPr>
            <w:r>
              <w:rPr>
                <w:rFonts w:ascii="Calibri" w:hAnsi="Calibri"/>
                <w:color w:val="1F2937"/>
                <w:sz w:val="16"/>
              </w:rPr>
              <w:t>Users infer personal safety or causality</w:t>
            </w:r>
          </w:p>
        </w:tc>
        <w:tc>
          <w:tcPr>
            <w:tcW w:type="dxa" w:w="3400"/>
            <w:vAlign w:val="center"/>
            <w:shd w:fill="F8FAFC"/>
            <w:tcMar>
              <w:top w:w="80" w:type="dxa"/>
              <w:start w:w="120" w:type="dxa"/>
              <w:bottom w:w="80" w:type="dxa"/>
              <w:end w:w="120" w:type="dxa"/>
            </w:tcMar>
          </w:tcPr>
          <w:p>
            <w:pPr>
              <w:spacing w:after="0" w:line="240" w:lineRule="auto"/>
            </w:pPr>
            <w:r>
              <w:rPr>
                <w:rFonts w:ascii="Calibri" w:hAnsi="Calibri"/>
                <w:color w:val="1F2937"/>
                <w:sz w:val="16"/>
              </w:rPr>
              <w:t>Neutral language, raw definitions, same-period comparisons, denominator caveats, no safest ranking</w:t>
            </w:r>
          </w:p>
        </w:tc>
        <w:tc>
          <w:tcPr>
            <w:tcW w:type="dxa" w:w="2060"/>
            <w:vAlign w:val="center"/>
            <w:shd w:fill="F8FAFC"/>
            <w:tcMar>
              <w:top w:w="80" w:type="dxa"/>
              <w:start w:w="120" w:type="dxa"/>
              <w:bottom w:w="80" w:type="dxa"/>
              <w:end w:w="120" w:type="dxa"/>
            </w:tcMar>
          </w:tcPr>
          <w:p>
            <w:pPr>
              <w:spacing w:after="0" w:line="240" w:lineRule="auto"/>
            </w:pPr>
            <w:r>
              <w:rPr>
                <w:rFonts w:ascii="Calibri" w:hAnsi="Calibri"/>
                <w:color w:val="1F2937"/>
                <w:sz w:val="16"/>
              </w:rPr>
              <w:t>Product/content review + tests</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Opaque score</w:t>
            </w:r>
          </w:p>
        </w:tc>
        <w:tc>
          <w:tcPr>
            <w:tcW w:type="dxa" w:w="2200"/>
            <w:vAlign w:val="center"/>
            <w:tcMar>
              <w:top w:w="80" w:type="dxa"/>
              <w:start w:w="120" w:type="dxa"/>
              <w:bottom w:w="80" w:type="dxa"/>
              <w:end w:w="120" w:type="dxa"/>
            </w:tcMar>
          </w:tcPr>
          <w:p>
            <w:pPr>
              <w:spacing w:after="0" w:line="240" w:lineRule="auto"/>
            </w:pPr>
            <w:r>
              <w:rPr>
                <w:rFonts w:ascii="Calibri" w:hAnsi="Calibri"/>
                <w:color w:val="1F2937"/>
                <w:sz w:val="16"/>
              </w:rPr>
              <w:t>False precision and hidden value judgements</w:t>
            </w:r>
          </w:p>
        </w:tc>
        <w:tc>
          <w:tcPr>
            <w:tcW w:type="dxa" w:w="3400"/>
            <w:vAlign w:val="center"/>
            <w:tcMar>
              <w:top w:w="80" w:type="dxa"/>
              <w:start w:w="120" w:type="dxa"/>
              <w:bottom w:w="80" w:type="dxa"/>
              <w:end w:w="120" w:type="dxa"/>
            </w:tcMar>
          </w:tcPr>
          <w:p>
            <w:pPr>
              <w:spacing w:after="0" w:line="240" w:lineRule="auto"/>
            </w:pPr>
            <w:r>
              <w:rPr>
                <w:rFonts w:ascii="Calibri" w:hAnsi="Calibri"/>
                <w:color w:val="1F2937"/>
                <w:sz w:val="16"/>
              </w:rPr>
              <w:t>Raw measures first; transparent percentile; no overall score without approved weights/fairness review</w:t>
            </w:r>
          </w:p>
        </w:tc>
        <w:tc>
          <w:tcPr>
            <w:tcW w:type="dxa" w:w="2060"/>
            <w:vAlign w:val="center"/>
            <w:tcMar>
              <w:top w:w="80" w:type="dxa"/>
              <w:start w:w="120" w:type="dxa"/>
              <w:bottom w:w="80" w:type="dxa"/>
              <w:end w:w="120" w:type="dxa"/>
            </w:tcMar>
          </w:tcPr>
          <w:p>
            <w:pPr>
              <w:spacing w:after="0" w:line="240" w:lineRule="auto"/>
            </w:pPr>
            <w:r>
              <w:rPr>
                <w:rFonts w:ascii="Calibri" w:hAnsi="Calibri"/>
                <w:color w:val="1F2937"/>
                <w:sz w:val="16"/>
              </w:rPr>
              <w:t>Architecture/product decision</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6"/>
              </w:rPr>
              <w:t>Stale/mixed data</w:t>
            </w:r>
          </w:p>
        </w:tc>
        <w:tc>
          <w:tcPr>
            <w:tcW w:type="dxa" w:w="2200"/>
            <w:vAlign w:val="center"/>
            <w:shd w:fill="F8FAFC"/>
            <w:tcMar>
              <w:top w:w="80" w:type="dxa"/>
              <w:start w:w="120" w:type="dxa"/>
              <w:bottom w:w="80" w:type="dxa"/>
              <w:end w:w="120" w:type="dxa"/>
            </w:tcMar>
          </w:tcPr>
          <w:p>
            <w:pPr>
              <w:spacing w:after="0" w:line="240" w:lineRule="auto"/>
            </w:pPr>
            <w:r>
              <w:rPr>
                <w:rFonts w:ascii="Calibri" w:hAnsi="Calibri"/>
                <w:color w:val="1F2937"/>
                <w:sz w:val="16"/>
              </w:rPr>
              <w:t>Invalid comparison</w:t>
            </w:r>
          </w:p>
        </w:tc>
        <w:tc>
          <w:tcPr>
            <w:tcW w:type="dxa" w:w="3400"/>
            <w:vAlign w:val="center"/>
            <w:shd w:fill="F8FAFC"/>
            <w:tcMar>
              <w:top w:w="80" w:type="dxa"/>
              <w:start w:w="120" w:type="dxa"/>
              <w:bottom w:w="80" w:type="dxa"/>
              <w:end w:w="120" w:type="dxa"/>
            </w:tcMar>
          </w:tcPr>
          <w:p>
            <w:pPr>
              <w:spacing w:after="0" w:line="240" w:lineRule="auto"/>
            </w:pPr>
            <w:r>
              <w:rPr>
                <w:rFonts w:ascii="Calibri" w:hAnsi="Calibri"/>
                <w:color w:val="1F2937"/>
                <w:sz w:val="16"/>
              </w:rPr>
              <w:t>Accepted release IDs, effective dates, freshness strip, alignment validation, partial state</w:t>
            </w:r>
          </w:p>
        </w:tc>
        <w:tc>
          <w:tcPr>
            <w:tcW w:type="dxa" w:w="2060"/>
            <w:vAlign w:val="center"/>
            <w:shd w:fill="F8FAFC"/>
            <w:tcMar>
              <w:top w:w="80" w:type="dxa"/>
              <w:start w:w="120" w:type="dxa"/>
              <w:bottom w:w="80" w:type="dxa"/>
              <w:end w:w="120" w:type="dxa"/>
            </w:tcMar>
          </w:tcPr>
          <w:p>
            <w:pPr>
              <w:spacing w:after="0" w:line="240" w:lineRule="auto"/>
            </w:pPr>
            <w:r>
              <w:rPr>
                <w:rFonts w:ascii="Calibri" w:hAnsi="Calibri"/>
                <w:color w:val="1F2937"/>
                <w:sz w:val="16"/>
              </w:rPr>
              <w:t>Dataset quality gate</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Publisher/API change</w:t>
            </w:r>
          </w:p>
        </w:tc>
        <w:tc>
          <w:tcPr>
            <w:tcW w:type="dxa" w:w="2200"/>
            <w:vAlign w:val="center"/>
            <w:tcMar>
              <w:top w:w="80" w:type="dxa"/>
              <w:start w:w="120" w:type="dxa"/>
              <w:bottom w:w="80" w:type="dxa"/>
              <w:end w:w="120" w:type="dxa"/>
            </w:tcMar>
          </w:tcPr>
          <w:p>
            <w:pPr>
              <w:spacing w:after="0" w:line="240" w:lineRule="auto"/>
            </w:pPr>
            <w:r>
              <w:rPr>
                <w:rFonts w:ascii="Calibri" w:hAnsi="Calibri"/>
                <w:color w:val="1F2937"/>
                <w:sz w:val="16"/>
              </w:rPr>
              <w:t>Ingestion failure</w:t>
            </w:r>
          </w:p>
        </w:tc>
        <w:tc>
          <w:tcPr>
            <w:tcW w:type="dxa" w:w="3400"/>
            <w:vAlign w:val="center"/>
            <w:tcMar>
              <w:top w:w="80" w:type="dxa"/>
              <w:start w:w="120" w:type="dxa"/>
              <w:bottom w:w="80" w:type="dxa"/>
              <w:end w:w="120" w:type="dxa"/>
            </w:tcMar>
          </w:tcPr>
          <w:p>
            <w:pPr>
              <w:spacing w:after="0" w:line="240" w:lineRule="auto"/>
            </w:pPr>
            <w:r>
              <w:rPr>
                <w:rFonts w:ascii="Calibri" w:hAnsi="Calibri"/>
                <w:color w:val="1F2937"/>
                <w:sz w:val="16"/>
              </w:rPr>
              <w:t>Versioned adapters, schema snapshots, golden tests, previous accepted release remains live</w:t>
            </w:r>
          </w:p>
        </w:tc>
        <w:tc>
          <w:tcPr>
            <w:tcW w:type="dxa" w:w="2060"/>
            <w:vAlign w:val="center"/>
            <w:tcMar>
              <w:top w:w="80" w:type="dxa"/>
              <w:start w:w="120" w:type="dxa"/>
              <w:bottom w:w="80" w:type="dxa"/>
              <w:end w:w="120" w:type="dxa"/>
            </w:tcMar>
          </w:tcPr>
          <w:p>
            <w:pPr>
              <w:spacing w:after="0" w:line="240" w:lineRule="auto"/>
            </w:pPr>
            <w:r>
              <w:rPr>
                <w:rFonts w:ascii="Calibri" w:hAnsi="Calibri"/>
                <w:color w:val="1F2937"/>
                <w:sz w:val="16"/>
              </w:rPr>
              <w:t>Operator runbook</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6"/>
              </w:rPr>
              <w:t>Licence/access uncertainty</w:t>
            </w:r>
          </w:p>
        </w:tc>
        <w:tc>
          <w:tcPr>
            <w:tcW w:type="dxa" w:w="2200"/>
            <w:vAlign w:val="center"/>
            <w:shd w:fill="F8FAFC"/>
            <w:tcMar>
              <w:top w:w="80" w:type="dxa"/>
              <w:start w:w="120" w:type="dxa"/>
              <w:bottom w:w="80" w:type="dxa"/>
              <w:end w:w="120" w:type="dxa"/>
            </w:tcMar>
          </w:tcPr>
          <w:p>
            <w:pPr>
              <w:spacing w:after="0" w:line="240" w:lineRule="auto"/>
            </w:pPr>
            <w:r>
              <w:rPr>
                <w:rFonts w:ascii="Calibri" w:hAnsi="Calibri"/>
                <w:color w:val="1F2937"/>
                <w:sz w:val="16"/>
              </w:rPr>
              <w:t>Non-compliant reuse or unavailable feed</w:t>
            </w:r>
          </w:p>
        </w:tc>
        <w:tc>
          <w:tcPr>
            <w:tcW w:type="dxa" w:w="3400"/>
            <w:vAlign w:val="center"/>
            <w:shd w:fill="F8FAFC"/>
            <w:tcMar>
              <w:top w:w="80" w:type="dxa"/>
              <w:start w:w="120" w:type="dxa"/>
              <w:bottom w:w="80" w:type="dxa"/>
              <w:end w:w="120" w:type="dxa"/>
            </w:tcMar>
          </w:tcPr>
          <w:p>
            <w:pPr>
              <w:spacing w:after="0" w:line="240" w:lineRule="auto"/>
            </w:pPr>
            <w:r>
              <w:rPr>
                <w:rFonts w:ascii="Calibri" w:hAnsi="Calibri"/>
                <w:color w:val="1F2937"/>
                <w:sz w:val="16"/>
              </w:rPr>
              <w:t>Pre-ingestion licence review; attribution; optional datasets gated; fixtures remain deterministic</w:t>
            </w:r>
          </w:p>
        </w:tc>
        <w:tc>
          <w:tcPr>
            <w:tcW w:type="dxa" w:w="2060"/>
            <w:vAlign w:val="center"/>
            <w:shd w:fill="F8FAFC"/>
            <w:tcMar>
              <w:top w:w="80" w:type="dxa"/>
              <w:start w:w="120" w:type="dxa"/>
              <w:bottom w:w="80" w:type="dxa"/>
              <w:end w:w="120" w:type="dxa"/>
            </w:tcMar>
          </w:tcPr>
          <w:p>
            <w:pPr>
              <w:spacing w:after="0" w:line="240" w:lineRule="auto"/>
            </w:pPr>
            <w:r>
              <w:rPr>
                <w:rFonts w:ascii="Calibri" w:hAnsi="Calibri"/>
                <w:color w:val="1F2937"/>
                <w:sz w:val="16"/>
              </w:rPr>
              <w:t>Team review before enablement</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SQLite/cloud locking</w:t>
            </w:r>
          </w:p>
        </w:tc>
        <w:tc>
          <w:tcPr>
            <w:tcW w:type="dxa" w:w="2200"/>
            <w:vAlign w:val="center"/>
            <w:tcMar>
              <w:top w:w="80" w:type="dxa"/>
              <w:start w:w="120" w:type="dxa"/>
              <w:bottom w:w="80" w:type="dxa"/>
              <w:end w:w="120" w:type="dxa"/>
            </w:tcMar>
          </w:tcPr>
          <w:p>
            <w:pPr>
              <w:spacing w:after="0" w:line="240" w:lineRule="auto"/>
            </w:pPr>
            <w:r>
              <w:rPr>
                <w:rFonts w:ascii="Calibri" w:hAnsi="Calibri"/>
                <w:color w:val="1F2937"/>
                <w:sz w:val="16"/>
              </w:rPr>
              <w:t>Write failures or corruption</w:t>
            </w:r>
          </w:p>
        </w:tc>
        <w:tc>
          <w:tcPr>
            <w:tcW w:type="dxa" w:w="3400"/>
            <w:vAlign w:val="center"/>
            <w:tcMar>
              <w:top w:w="80" w:type="dxa"/>
              <w:start w:w="120" w:type="dxa"/>
              <w:bottom w:w="80" w:type="dxa"/>
              <w:end w:w="120" w:type="dxa"/>
            </w:tcMar>
          </w:tcPr>
          <w:p>
            <w:pPr>
              <w:spacing w:after="0" w:line="240" w:lineRule="auto"/>
            </w:pPr>
            <w:r>
              <w:rPr>
                <w:rFonts w:ascii="Calibri" w:hAnsi="Calibri"/>
                <w:color w:val="1F2937"/>
                <w:sz w:val="16"/>
              </w:rPr>
              <w:t>Exclusive owner/volume, one replica, short transactions, backup/restore test, no network sharing</w:t>
            </w:r>
          </w:p>
        </w:tc>
        <w:tc>
          <w:tcPr>
            <w:tcW w:type="dxa" w:w="2060"/>
            <w:vAlign w:val="center"/>
            <w:tcMar>
              <w:top w:w="80" w:type="dxa"/>
              <w:start w:w="120" w:type="dxa"/>
              <w:bottom w:w="80" w:type="dxa"/>
              <w:end w:w="120" w:type="dxa"/>
            </w:tcMar>
          </w:tcPr>
          <w:p>
            <w:pPr>
              <w:spacing w:after="0" w:line="240" w:lineRule="auto"/>
            </w:pPr>
            <w:r>
              <w:rPr>
                <w:rFonts w:ascii="Calibri" w:hAnsi="Calibri"/>
                <w:color w:val="1F2937"/>
                <w:sz w:val="16"/>
              </w:rPr>
              <w:t>Deployment gate</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6"/>
              </w:rPr>
              <w:t>Auth undecided</w:t>
            </w:r>
          </w:p>
        </w:tc>
        <w:tc>
          <w:tcPr>
            <w:tcW w:type="dxa" w:w="2200"/>
            <w:vAlign w:val="center"/>
            <w:shd w:fill="F8FAFC"/>
            <w:tcMar>
              <w:top w:w="80" w:type="dxa"/>
              <w:start w:w="120" w:type="dxa"/>
              <w:bottom w:w="80" w:type="dxa"/>
              <w:end w:w="120" w:type="dxa"/>
            </w:tcMar>
          </w:tcPr>
          <w:p>
            <w:pPr>
              <w:spacing w:after="0" w:line="240" w:lineRule="auto"/>
            </w:pPr>
            <w:r>
              <w:rPr>
                <w:rFonts w:ascii="Calibri" w:hAnsi="Calibri"/>
                <w:color w:val="1F2937"/>
                <w:sz w:val="16"/>
              </w:rPr>
              <w:t>Private saved data exposed or duplicated identity</w:t>
            </w:r>
          </w:p>
        </w:tc>
        <w:tc>
          <w:tcPr>
            <w:tcW w:type="dxa" w:w="3400"/>
            <w:vAlign w:val="center"/>
            <w:shd w:fill="F8FAFC"/>
            <w:tcMar>
              <w:top w:w="80" w:type="dxa"/>
              <w:start w:w="120" w:type="dxa"/>
              <w:bottom w:w="80" w:type="dxa"/>
              <w:end w:w="120" w:type="dxa"/>
            </w:tcMar>
          </w:tcPr>
          <w:p>
            <w:pPr>
              <w:spacing w:after="0" w:line="240" w:lineRule="auto"/>
            </w:pPr>
            <w:r>
              <w:rPr>
                <w:rFonts w:ascii="Calibri" w:hAnsi="Calibri"/>
                <w:color w:val="1F2937"/>
                <w:sz w:val="16"/>
              </w:rPr>
              <w:t>Opaque trusted subject interface; local-only dev principal; no feature password store</w:t>
            </w:r>
          </w:p>
        </w:tc>
        <w:tc>
          <w:tcPr>
            <w:tcW w:type="dxa" w:w="2060"/>
            <w:vAlign w:val="center"/>
            <w:shd w:fill="F8FAFC"/>
            <w:tcMar>
              <w:top w:w="80" w:type="dxa"/>
              <w:start w:w="120" w:type="dxa"/>
              <w:bottom w:w="80" w:type="dxa"/>
              <w:end w:w="120" w:type="dxa"/>
            </w:tcMar>
          </w:tcPr>
          <w:p>
            <w:pPr>
              <w:spacing w:after="0" w:line="240" w:lineRule="auto"/>
            </w:pPr>
            <w:r>
              <w:rPr>
                <w:rFonts w:ascii="Calibri" w:hAnsi="Calibri"/>
                <w:color w:val="1F2937"/>
                <w:sz w:val="16"/>
              </w:rPr>
              <w:t>Team architecture decision</w:t>
            </w:r>
          </w:p>
        </w:tc>
      </w:tr>
      <w:tr>
        <w:trPr>
          <w:cantSplit/>
        </w:trPr>
        <w:tc>
          <w:tcPr>
            <w:tcW w:type="dxa" w:w="1700"/>
            <w:vAlign w:val="center"/>
            <w:tcMar>
              <w:top w:w="80" w:type="dxa"/>
              <w:start w:w="120" w:type="dxa"/>
              <w:bottom w:w="80" w:type="dxa"/>
              <w:end w:w="120" w:type="dxa"/>
            </w:tcMar>
          </w:tcPr>
          <w:p>
            <w:pPr>
              <w:spacing w:after="0" w:line="240" w:lineRule="auto"/>
            </w:pPr>
            <w:r>
              <w:rPr>
                <w:rFonts w:ascii="Calibri" w:hAnsi="Calibri"/>
                <w:color w:val="1F2937"/>
                <w:sz w:val="16"/>
              </w:rPr>
              <w:t>AI unsupported claim</w:t>
            </w:r>
          </w:p>
        </w:tc>
        <w:tc>
          <w:tcPr>
            <w:tcW w:type="dxa" w:w="2200"/>
            <w:vAlign w:val="center"/>
            <w:tcMar>
              <w:top w:w="80" w:type="dxa"/>
              <w:start w:w="120" w:type="dxa"/>
              <w:bottom w:w="80" w:type="dxa"/>
              <w:end w:w="120" w:type="dxa"/>
            </w:tcMar>
          </w:tcPr>
          <w:p>
            <w:pPr>
              <w:spacing w:after="0" w:line="240" w:lineRule="auto"/>
            </w:pPr>
            <w:r>
              <w:rPr>
                <w:rFonts w:ascii="Calibri" w:hAnsi="Calibri"/>
                <w:color w:val="1F2937"/>
                <w:sz w:val="16"/>
              </w:rPr>
              <w:t>Misleading advice</w:t>
            </w:r>
          </w:p>
        </w:tc>
        <w:tc>
          <w:tcPr>
            <w:tcW w:type="dxa" w:w="3400"/>
            <w:vAlign w:val="center"/>
            <w:tcMar>
              <w:top w:w="80" w:type="dxa"/>
              <w:start w:w="120" w:type="dxa"/>
              <w:bottom w:w="80" w:type="dxa"/>
              <w:end w:w="120" w:type="dxa"/>
            </w:tcMar>
          </w:tcPr>
          <w:p>
            <w:pPr>
              <w:spacing w:after="0" w:line="240" w:lineRule="auto"/>
            </w:pPr>
            <w:r>
              <w:rPr>
                <w:rFonts w:ascii="Calibri" w:hAnsi="Calibri"/>
                <w:color w:val="1F2937"/>
                <w:sz w:val="16"/>
              </w:rPr>
              <w:t>Read-only tools, evidence IDs, method/coverage observation, bounded adaptation, deterministic fallback</w:t>
            </w:r>
          </w:p>
        </w:tc>
        <w:tc>
          <w:tcPr>
            <w:tcW w:type="dxa" w:w="2060"/>
            <w:vAlign w:val="center"/>
            <w:tcMar>
              <w:top w:w="80" w:type="dxa"/>
              <w:start w:w="120" w:type="dxa"/>
              <w:bottom w:w="80" w:type="dxa"/>
              <w:end w:w="120" w:type="dxa"/>
            </w:tcMar>
          </w:tcPr>
          <w:p>
            <w:pPr>
              <w:spacing w:after="0" w:line="240" w:lineRule="auto"/>
            </w:pPr>
            <w:r>
              <w:rPr>
                <w:rFonts w:ascii="Calibri" w:hAnsi="Calibri"/>
                <w:color w:val="1F2937"/>
                <w:sz w:val="16"/>
              </w:rPr>
              <w:t>AI evaluation gate</w:t>
            </w:r>
          </w:p>
        </w:tc>
      </w:tr>
      <w:tr>
        <w:trPr>
          <w:cantSplit/>
        </w:trPr>
        <w:tc>
          <w:tcPr>
            <w:tcW w:type="dxa" w:w="1700"/>
            <w:vAlign w:val="center"/>
            <w:shd w:fill="F8FAFC"/>
            <w:tcMar>
              <w:top w:w="80" w:type="dxa"/>
              <w:start w:w="120" w:type="dxa"/>
              <w:bottom w:w="80" w:type="dxa"/>
              <w:end w:w="120" w:type="dxa"/>
            </w:tcMar>
          </w:tcPr>
          <w:p>
            <w:pPr>
              <w:spacing w:after="0" w:line="240" w:lineRule="auto"/>
            </w:pPr>
            <w:r>
              <w:rPr>
                <w:rFonts w:ascii="Calibri" w:hAnsi="Calibri"/>
                <w:color w:val="1F2937"/>
                <w:sz w:val="16"/>
              </w:rPr>
              <w:t>Map/chart accessibility</w:t>
            </w:r>
          </w:p>
        </w:tc>
        <w:tc>
          <w:tcPr>
            <w:tcW w:type="dxa" w:w="2200"/>
            <w:vAlign w:val="center"/>
            <w:shd w:fill="F8FAFC"/>
            <w:tcMar>
              <w:top w:w="80" w:type="dxa"/>
              <w:start w:w="120" w:type="dxa"/>
              <w:bottom w:w="80" w:type="dxa"/>
              <w:end w:w="120" w:type="dxa"/>
            </w:tcMar>
          </w:tcPr>
          <w:p>
            <w:pPr>
              <w:spacing w:after="0" w:line="240" w:lineRule="auto"/>
            </w:pPr>
            <w:r>
              <w:rPr>
                <w:rFonts w:ascii="Calibri" w:hAnsi="Calibri"/>
                <w:color w:val="1F2937"/>
                <w:sz w:val="16"/>
              </w:rPr>
              <w:t>Core content unavailable</w:t>
            </w:r>
          </w:p>
        </w:tc>
        <w:tc>
          <w:tcPr>
            <w:tcW w:type="dxa" w:w="3400"/>
            <w:vAlign w:val="center"/>
            <w:shd w:fill="F8FAFC"/>
            <w:tcMar>
              <w:top w:w="80" w:type="dxa"/>
              <w:start w:w="120" w:type="dxa"/>
              <w:bottom w:w="80" w:type="dxa"/>
              <w:end w:w="120" w:type="dxa"/>
            </w:tcMar>
          </w:tcPr>
          <w:p>
            <w:pPr>
              <w:spacing w:after="0" w:line="240" w:lineRule="auto"/>
            </w:pPr>
            <w:r>
              <w:rPr>
                <w:rFonts w:ascii="Calibri" w:hAnsi="Calibri"/>
                <w:color w:val="1F2937"/>
                <w:sz w:val="16"/>
              </w:rPr>
              <w:t>Semantic table/list parity, keyboard linkage, text summaries, colour-independent encoding</w:t>
            </w:r>
          </w:p>
        </w:tc>
        <w:tc>
          <w:tcPr>
            <w:tcW w:type="dxa" w:w="2060"/>
            <w:vAlign w:val="center"/>
            <w:shd w:fill="F8FAFC"/>
            <w:tcMar>
              <w:top w:w="80" w:type="dxa"/>
              <w:start w:w="120" w:type="dxa"/>
              <w:bottom w:w="80" w:type="dxa"/>
              <w:end w:w="120" w:type="dxa"/>
            </w:tcMar>
          </w:tcPr>
          <w:p>
            <w:pPr>
              <w:spacing w:after="0" w:line="240" w:lineRule="auto"/>
            </w:pPr>
            <w:r>
              <w:rPr>
                <w:rFonts w:ascii="Calibri" w:hAnsi="Calibri"/>
                <w:color w:val="1F2937"/>
                <w:sz w:val="16"/>
              </w:rPr>
              <w:t>Accessibility gate</w:t>
            </w:r>
          </w:p>
        </w:tc>
      </w:tr>
    </w:tbl>
    <w:p>
      <w:pPr>
        <w:spacing w:after="40"/>
      </w:pPr>
    </w:p>
    <w:p>
      <w:pPr>
        <w:pStyle w:val="Heading2"/>
      </w:pPr>
      <w:r>
        <w:t>Decisions requiring team or owner confirmation</w:t>
      </w:r>
    </w:p>
    <w:p>
      <w:pPr>
        <w:numPr>
          <w:ilvl w:val="0"/>
          <w:numId w:val="1"/>
        </w:numPr>
        <w:spacing w:after="160" w:line="280" w:lineRule="auto"/>
      </w:pPr>
      <w:r>
        <w:rPr>
          <w:rFonts w:ascii="Calibri" w:hAnsi="Calibri"/>
        </w:rPr>
        <w:t>Identity provider and production authentication mechanism; confirm how the trusted user subject reaches Feature 3.</w:t>
      </w:r>
    </w:p>
    <w:p>
      <w:pPr>
        <w:numPr>
          <w:ilvl w:val="0"/>
          <w:numId w:val="1"/>
        </w:numPr>
        <w:spacing w:after="160" w:line="280" w:lineRule="auto"/>
      </w:pPr>
      <w:r>
        <w:rPr>
          <w:rFonts w:ascii="Calibri" w:hAnsi="Calibri"/>
        </w:rPr>
        <w:t>Whether Feature 1 will govern any Feature 3 source publications and the exact locality-validation contract.</w:t>
      </w:r>
    </w:p>
    <w:p>
      <w:pPr>
        <w:numPr>
          <w:ilvl w:val="0"/>
          <w:numId w:val="1"/>
        </w:numPr>
        <w:spacing w:after="160" w:line="280" w:lineRule="auto"/>
      </w:pPr>
      <w:r>
        <w:rPr>
          <w:rFonts w:ascii="Calibri" w:hAnsi="Calibri"/>
        </w:rPr>
        <w:t>Licence/access approval for TfNSW authenticated downloads, NSW Hospitals, and any non-government/council amenity source.</w:t>
      </w:r>
    </w:p>
    <w:p>
      <w:pPr>
        <w:numPr>
          <w:ilvl w:val="0"/>
          <w:numId w:val="1"/>
        </w:numPr>
        <w:spacing w:after="160" w:line="280" w:lineRule="auto"/>
      </w:pPr>
      <w:r>
        <w:rPr>
          <w:rFonts w:ascii="Calibri" w:hAnsi="Calibri"/>
        </w:rPr>
        <w:t>Metric dictionary, comparison cohort, rate denominator rules, percentile direction, minimum valid N, and whether any overall composite is permitted.</w:t>
      </w:r>
    </w:p>
    <w:p>
      <w:pPr>
        <w:numPr>
          <w:ilvl w:val="0"/>
          <w:numId w:val="1"/>
        </w:numPr>
        <w:spacing w:after="160" w:line="280" w:lineRule="auto"/>
      </w:pPr>
      <w:r>
        <w:rPr>
          <w:rFonts w:ascii="Calibri" w:hAnsi="Calibri"/>
        </w:rPr>
        <w:t>Feature 5 bounded research-section schema and its independent partial/unavailable semantics.</w:t>
      </w:r>
    </w:p>
    <w:p>
      <w:pPr>
        <w:numPr>
          <w:ilvl w:val="0"/>
          <w:numId w:val="1"/>
        </w:numPr>
        <w:spacing w:after="160" w:line="280" w:lineRule="auto"/>
      </w:pPr>
      <w:r>
        <w:rPr>
          <w:rFonts w:ascii="Calibri" w:hAnsi="Calibri"/>
        </w:rPr>
        <w:t>Which advanced services are demonstrated in each local release under the current approved provider/ADR configuration.</w:t>
      </w:r>
    </w:p>
    <w:p>
      <w:pPr>
        <w:pStyle w:val="Heading2"/>
      </w:pPr>
      <w:r>
        <w:t>Feature 3 definition of done</w:t>
      </w:r>
    </w:p>
    <w:p>
      <w:pPr>
        <w:numPr>
          <w:ilvl w:val="0"/>
          <w:numId w:val="1"/>
        </w:numPr>
        <w:spacing w:after="160" w:line="280" w:lineRule="auto"/>
      </w:pPr>
      <w:r>
        <w:rPr>
          <w:rFonts w:ascii="Calibri" w:hAnsi="Calibri"/>
        </w:rPr>
        <w:t>Approved scope is implemented within student-3 ownership; no cross-feature imports, database credentials, or volume access.</w:t>
      </w:r>
    </w:p>
    <w:p>
      <w:pPr>
        <w:numPr>
          <w:ilvl w:val="0"/>
          <w:numId w:val="1"/>
        </w:numPr>
        <w:spacing w:after="160" w:line="280" w:lineRule="auto"/>
      </w:pPr>
      <w:r>
        <w:rPr>
          <w:rFonts w:ascii="Calibri" w:hAnsi="Calibri"/>
        </w:rPr>
        <w:t>Frontend, backend, and database images are independently runnable and healthy; feature.yaml and generated routing/deployment projections validate.</w:t>
      </w:r>
    </w:p>
    <w:p>
      <w:pPr>
        <w:numPr>
          <w:ilvl w:val="0"/>
          <w:numId w:val="1"/>
        </w:numPr>
        <w:spacing w:after="160" w:line="280" w:lineRule="auto"/>
      </w:pPr>
      <w:r>
        <w:rPr>
          <w:rFonts w:ascii="Calibri" w:hAnsi="Calibri"/>
        </w:rPr>
        <w:t>All required and supporting tables have migrations, constraints, indexes, and at least ten deterministic records, with reproducible reset/seed evidence.</w:t>
      </w:r>
    </w:p>
    <w:p>
      <w:pPr>
        <w:numPr>
          <w:ilvl w:val="0"/>
          <w:numId w:val="1"/>
        </w:numPr>
        <w:spacing w:after="160" w:line="280" w:lineRule="auto"/>
      </w:pPr>
      <w:r>
        <w:rPr>
          <w:rFonts w:ascii="Calibri" w:hAnsi="Calibri"/>
        </w:rPr>
        <w:t>Search, profile, crime, amenities, compare, saved-list/favourite CRUD, source status, and bounded AI explanation are visible and tested.</w:t>
      </w:r>
    </w:p>
    <w:p>
      <w:pPr>
        <w:numPr>
          <w:ilvl w:val="0"/>
          <w:numId w:val="1"/>
        </w:numPr>
        <w:spacing w:after="160" w:line="280" w:lineRule="auto"/>
      </w:pPr>
      <w:r>
        <w:rPr>
          <w:rFonts w:ascii="Calibri" w:hAnsi="Calibri"/>
        </w:rPr>
        <w:t>Every source-backed value exposes source, release/effective date, coverage, freshness, match method/confidence, and transform version where relevant.</w:t>
      </w:r>
    </w:p>
    <w:p>
      <w:pPr>
        <w:numPr>
          <w:ilvl w:val="0"/>
          <w:numId w:val="1"/>
        </w:numPr>
        <w:spacing w:after="160" w:line="280" w:lineRule="auto"/>
      </w:pPr>
      <w:r>
        <w:rPr>
          <w:rFonts w:ascii="Calibri" w:hAnsi="Calibri"/>
        </w:rPr>
        <w:t>Crime and liveability language passes content review; zero/missing/partial/stale states are distinct; mixed-period/unit comparisons fail closed.</w:t>
      </w:r>
    </w:p>
    <w:p>
      <w:pPr>
        <w:numPr>
          <w:ilvl w:val="0"/>
          <w:numId w:val="1"/>
        </w:numPr>
        <w:spacing w:after="160" w:line="280" w:lineRule="auto"/>
      </w:pPr>
      <w:r>
        <w:rPr>
          <w:rFonts w:ascii="Calibri" w:hAnsi="Calibri"/>
        </w:rPr>
        <w:t>Problem Details, X-Request-ID, agent correlation, pagination, idempotency, optimistic concurrency, and graceful AI/provider degradation conform to shared conventions.</w:t>
      </w:r>
    </w:p>
    <w:p>
      <w:pPr>
        <w:numPr>
          <w:ilvl w:val="0"/>
          <w:numId w:val="1"/>
        </w:numPr>
        <w:spacing w:after="160" w:line="280" w:lineRule="auto"/>
      </w:pPr>
      <w:r>
        <w:rPr>
          <w:rFonts w:ascii="Calibri" w:hAnsi="Calibri"/>
        </w:rPr>
        <w:t>Canonical quality gate passes, plus Feature 3 contract/component/browser/integration/accessibility tests and representative data/AI evaluation evidence.</w:t>
      </w:r>
    </w:p>
    <w:p>
      <w:pPr>
        <w:numPr>
          <w:ilvl w:val="0"/>
          <w:numId w:val="1"/>
        </w:numPr>
        <w:spacing w:after="160" w:line="280" w:lineRule="auto"/>
      </w:pPr>
      <w:r>
        <w:rPr>
          <w:rFonts w:ascii="Calibri" w:hAnsi="Calibri"/>
        </w:rPr>
        <w:t>README, source register, runbook, architecture/API/database diagrams, known limitations, and release/demo evidence are current.</w:t>
      </w:r>
    </w:p>
    <w:p>
      <w:r>
        <w:br w:type="page"/>
      </w:r>
    </w:p>
    <w:p>
      <w:pPr>
        <w:pStyle w:val="Heading1"/>
      </w:pPr>
      <w:r>
        <w:t>Appendix A - Example response shapes</w:t>
      </w:r>
    </w:p>
    <w:p>
      <w:pPr>
        <w:pStyle w:val="Heading2"/>
      </w:pPr>
      <w:r>
        <w:t>Suburb profile projection</w:t>
      </w:r>
    </w:p>
    <w:p>
      <w:pPr>
        <w:spacing w:before="80" w:after="200"/>
        <w:ind w:left="259" w:right="144"/>
        <w:shd w:fill="F2F4F7"/>
        <w:pBdr>
          <w:left w:val="single" w:sz="10" w:space="7" w:color="667085"/>
        </w:pBdr>
      </w:pPr>
      <w:r>
        <w:rPr>
          <w:rFonts w:ascii="Consolas" w:hAnsi="Consolas"/>
          <w:color w:val="1F2937"/>
          <w:sz w:val="16"/>
        </w:rPr>
        <w:t>{</w:t>
        <w:br/>
      </w:r>
      <w:r>
        <w:rPr>
          <w:rFonts w:ascii="Consolas" w:hAnsi="Consolas"/>
          <w:color w:val="1F2937"/>
          <w:sz w:val="16"/>
        </w:rPr>
        <w:t xml:space="preserve">  "suburb": {"suburb_id": "&lt;uuid&gt;", "name": "Parramatta", "state": "NSW", "postcode": "2150"},</w:t>
        <w:br/>
      </w:r>
      <w:r>
        <w:rPr>
          <w:rFonts w:ascii="Consolas" w:hAnsi="Consolas"/>
          <w:color w:val="1F2937"/>
          <w:sz w:val="16"/>
        </w:rPr>
        <w:t xml:space="preserve">  "sections": {</w:t>
        <w:br/>
      </w:r>
      <w:r>
        <w:rPr>
          <w:rFonts w:ascii="Consolas" w:hAnsi="Consolas"/>
          <w:color w:val="1F2937"/>
          <w:sz w:val="16"/>
        </w:rPr>
        <w:t xml:space="preserve">    "overview": {"state": "complete", "population": 30000, "census_year": 2021},</w:t>
        <w:br/>
      </w:r>
      <w:r>
        <w:rPr>
          <w:rFonts w:ascii="Consolas" w:hAnsi="Consolas"/>
          <w:color w:val="1F2937"/>
          <w:sz w:val="16"/>
        </w:rPr>
        <w:t xml:space="preserve">    "crime_summary": {"state": "complete", "period": {"from": "2025-01", "to": "2025-12"}},</w:t>
        <w:br/>
      </w:r>
      <w:r>
        <w:rPr>
          <w:rFonts w:ascii="Consolas" w:hAnsi="Consolas"/>
          <w:color w:val="1F2937"/>
          <w:sz w:val="16"/>
        </w:rPr>
        <w:t xml:space="preserve">    "amenity_summary": {"state": "partial", "missing_categories": ["health"]}</w:t>
        <w:br/>
      </w:r>
      <w:r>
        <w:rPr>
          <w:rFonts w:ascii="Consolas" w:hAnsi="Consolas"/>
          <w:color w:val="1F2937"/>
          <w:sz w:val="16"/>
        </w:rPr>
        <w:t xml:space="preserve">  },</w:t>
        <w:br/>
      </w:r>
      <w:r>
        <w:rPr>
          <w:rFonts w:ascii="Consolas" w:hAnsi="Consolas"/>
          <w:color w:val="1F2937"/>
          <w:sz w:val="16"/>
        </w:rPr>
        <w:t xml:space="preserve">  "evidence": [{</w:t>
        <w:br/>
      </w:r>
      <w:r>
        <w:rPr>
          <w:rFonts w:ascii="Consolas" w:hAnsi="Consolas"/>
          <w:color w:val="1F2937"/>
          <w:sz w:val="16"/>
        </w:rPr>
        <w:t xml:space="preserve">    "evidence_id": "&lt;stable-ref&gt;", "source_name": "Publisher and dataset",</w:t>
        <w:br/>
      </w:r>
      <w:r>
        <w:rPr>
          <w:rFonts w:ascii="Consolas" w:hAnsi="Consolas"/>
          <w:color w:val="1F2937"/>
          <w:sz w:val="16"/>
        </w:rPr>
        <w:t xml:space="preserve">    "source_release": "&lt;release&gt;", "effective_date": "2025-12-31",</w:t>
        <w:br/>
      </w:r>
      <w:r>
        <w:rPr>
          <w:rFonts w:ascii="Consolas" w:hAnsi="Consolas"/>
          <w:color w:val="1F2937"/>
          <w:sz w:val="16"/>
        </w:rPr>
        <w:t xml:space="preserve">    "coverage_status": "partial", "freshness_status": "current_for_source",</w:t>
        <w:br/>
      </w:r>
      <w:r>
        <w:rPr>
          <w:rFonts w:ascii="Consolas" w:hAnsi="Consolas"/>
          <w:color w:val="1F2937"/>
          <w:sz w:val="16"/>
        </w:rPr>
        <w:t xml:space="preserve">    "match_method": "source_crosswalk", "match_confidence": "high",</w:t>
        <w:br/>
      </w:r>
      <w:r>
        <w:rPr>
          <w:rFonts w:ascii="Consolas" w:hAnsi="Consolas"/>
          <w:color w:val="1F2937"/>
          <w:sz w:val="16"/>
        </w:rPr>
        <w:t xml:space="preserve">    "transform_version": "feature3-transform.v1"</w:t>
        <w:br/>
      </w:r>
      <w:r>
        <w:rPr>
          <w:rFonts w:ascii="Consolas" w:hAnsi="Consolas"/>
          <w:color w:val="1F2937"/>
          <w:sz w:val="16"/>
        </w:rPr>
        <w:t xml:space="preserve">  }],</w:t>
        <w:br/>
      </w:r>
      <w:r>
        <w:rPr>
          <w:rFonts w:ascii="Consolas" w:hAnsi="Consolas"/>
          <w:color w:val="1F2937"/>
          <w:sz w:val="16"/>
        </w:rPr>
        <w:t xml:space="preserve">  "request_id": "&lt;request-id&gt;"</w:t>
        <w:br/>
      </w:r>
      <w:r>
        <w:rPr>
          <w:rFonts w:ascii="Consolas" w:hAnsi="Consolas"/>
          <w:color w:val="1F2937"/>
          <w:sz w:val="16"/>
        </w:rPr>
        <w:t>}</w:t>
      </w:r>
    </w:p>
    <w:p>
      <w:pPr>
        <w:pStyle w:val="Heading2"/>
      </w:pPr>
      <w:r>
        <w:t>Problem Details example</w:t>
      </w:r>
    </w:p>
    <w:p>
      <w:pPr>
        <w:spacing w:before="80" w:after="200"/>
        <w:ind w:left="259" w:right="144"/>
        <w:shd w:fill="F2F4F7"/>
        <w:pBdr>
          <w:left w:val="single" w:sz="10" w:space="7" w:color="667085"/>
        </w:pBdr>
      </w:pPr>
      <w:r>
        <w:rPr>
          <w:rFonts w:ascii="Consolas" w:hAnsi="Consolas"/>
          <w:color w:val="1F2937"/>
          <w:sz w:val="16"/>
        </w:rPr>
        <w:t>{</w:t>
        <w:br/>
      </w:r>
      <w:r>
        <w:rPr>
          <w:rFonts w:ascii="Consolas" w:hAnsi="Consolas"/>
          <w:color w:val="1F2937"/>
          <w:sz w:val="16"/>
        </w:rPr>
        <w:t xml:space="preserve">  "type": "https://propertyscope.example/problems/invalid-filter",</w:t>
        <w:br/>
      </w:r>
      <w:r>
        <w:rPr>
          <w:rFonts w:ascii="Consolas" w:hAnsi="Consolas"/>
          <w:color w:val="1F2937"/>
          <w:sz w:val="16"/>
        </w:rPr>
        <w:t xml:space="preserve">  "title": "Invalid suburb filter",</w:t>
        <w:br/>
      </w:r>
      <w:r>
        <w:rPr>
          <w:rFonts w:ascii="Consolas" w:hAnsi="Consolas"/>
          <w:color w:val="1F2937"/>
          <w:sz w:val="16"/>
        </w:rPr>
        <w:t xml:space="preserve">  "status": 422,</w:t>
        <w:br/>
      </w:r>
      <w:r>
        <w:rPr>
          <w:rFonts w:ascii="Consolas" w:hAnsi="Consolas"/>
          <w:color w:val="1F2937"/>
          <w:sz w:val="16"/>
        </w:rPr>
        <w:t xml:space="preserve">  "detail": "One or more filter parameters are invalid.",</w:t>
        <w:br/>
      </w:r>
      <w:r>
        <w:rPr>
          <w:rFonts w:ascii="Consolas" w:hAnsi="Consolas"/>
          <w:color w:val="1F2937"/>
          <w:sz w:val="16"/>
        </w:rPr>
        <w:t xml:space="preserve">  "instance": "/api/suburb-analytics/v1/suburbs",</w:t>
        <w:br/>
      </w:r>
      <w:r>
        <w:rPr>
          <w:rFonts w:ascii="Consolas" w:hAnsi="Consolas"/>
          <w:color w:val="1F2937"/>
          <w:sz w:val="16"/>
        </w:rPr>
        <w:t xml:space="preserve">  "code": "suburb_filter_invalid",</w:t>
        <w:br/>
      </w:r>
      <w:r>
        <w:rPr>
          <w:rFonts w:ascii="Consolas" w:hAnsi="Consolas"/>
          <w:color w:val="1F2937"/>
          <w:sz w:val="16"/>
        </w:rPr>
        <w:t xml:space="preserve">  "request_id": "&lt;request-id&gt;",</w:t>
        <w:br/>
      </w:r>
      <w:r>
        <w:rPr>
          <w:rFonts w:ascii="Consolas" w:hAnsi="Consolas"/>
          <w:color w:val="1F2937"/>
          <w:sz w:val="16"/>
        </w:rPr>
        <w:t xml:space="preserve">  "errors": [{"field": "sort", "message": "Unsupported sort field."}]</w:t>
        <w:br/>
      </w:r>
      <w:r>
        <w:rPr>
          <w:rFonts w:ascii="Consolas" w:hAnsi="Consolas"/>
          <w:color w:val="1F2937"/>
          <w:sz w:val="16"/>
        </w:rPr>
        <w:t>}</w:t>
      </w:r>
    </w:p>
    <w:p>
      <w:pPr>
        <w:pStyle w:val="Heading2"/>
      </w:pPr>
      <w:r>
        <w:t>Validation parameter policy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Parameter</w:t>
            </w:r>
          </w:p>
        </w:tc>
        <w:tc>
          <w:tcPr>
            <w:tcW w:type="dxa" w:w="7460"/>
            <w:shd w:fill="17324D"/>
            <w:vAlign w:val="center"/>
            <w:tcMar>
              <w:top w:w="80" w:type="dxa"/>
              <w:start w:w="120" w:type="dxa"/>
              <w:bottom w:w="80" w:type="dxa"/>
              <w:end w:w="120" w:type="dxa"/>
            </w:tcMar>
          </w:tcPr>
          <w:p>
            <w:pPr>
              <w:spacing w:after="0" w:line="240" w:lineRule="auto"/>
              <w:jc w:val="center"/>
            </w:pPr>
            <w:r>
              <w:rPr>
                <w:rFonts w:ascii="Calibri" w:hAnsi="Calibri"/>
                <w:b/>
                <w:color w:val="FFFFFF"/>
                <w:sz w:val="18"/>
              </w:rPr>
              <w:t>Policy</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q</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Trimmed 1-100 characters; prefix/token search; no raw regex; normalised display retains source spelling.</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sort</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Whitelist: name, postcode, population, approved metric codes; prepend '-' for descending; stable suburb_id tie-break.</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page/page_size</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Positive integers; default 1/25; maximum page_size 100; out-of-range returns empty items with total, not a crash.</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from/to</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Calendar month/date; from &lt;= to; source coverage and maximum span enforced; partial current periods explicit.</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suburb_id</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UUID contract; unknown 404, malformed 422; never fall back to a name guess.</w:t>
            </w:r>
          </w:p>
        </w:tc>
      </w:tr>
      <w:tr>
        <w:trPr>
          <w:cantSplit/>
        </w:trPr>
        <w:tc>
          <w:tcPr>
            <w:tcW w:type="dxa" w:w="1900"/>
            <w:vAlign w:val="center"/>
            <w:shd w:fill="F8FAFC"/>
            <w:tcMar>
              <w:top w:w="80" w:type="dxa"/>
              <w:start w:w="120" w:type="dxa"/>
              <w:bottom w:w="80" w:type="dxa"/>
              <w:end w:w="120" w:type="dxa"/>
            </w:tcMar>
          </w:tcPr>
          <w:p>
            <w:pPr>
              <w:spacing w:after="0" w:line="240" w:lineRule="auto"/>
            </w:pPr>
            <w:r>
              <w:rPr>
                <w:rFonts w:ascii="Calibri" w:hAnsi="Calibri"/>
                <w:color w:val="1F2937"/>
                <w:sz w:val="18"/>
              </w:rPr>
              <w:t>state/locality</w:t>
            </w:r>
          </w:p>
        </w:tc>
        <w:tc>
          <w:tcPr>
            <w:tcW w:type="dxa" w:w="7460"/>
            <w:vAlign w:val="center"/>
            <w:shd w:fill="F8FAFC"/>
            <w:tcMar>
              <w:top w:w="80" w:type="dxa"/>
              <w:start w:w="120" w:type="dxa"/>
              <w:bottom w:w="80" w:type="dxa"/>
              <w:end w:w="120" w:type="dxa"/>
            </w:tcMar>
          </w:tcPr>
          <w:p>
            <w:pPr>
              <w:spacing w:after="0" w:line="240" w:lineRule="auto"/>
            </w:pPr>
            <w:r>
              <w:rPr>
                <w:rFonts w:ascii="Calibri" w:hAnsi="Calibri"/>
                <w:color w:val="1F2937"/>
                <w:sz w:val="18"/>
              </w:rPr>
              <w:t>Both required for deep-link identity; state constrained to NSW in this feature; normalised then validated.</w:t>
            </w:r>
          </w:p>
        </w:tc>
      </w:tr>
      <w:tr>
        <w:trPr>
          <w:cantSplit/>
        </w:trPr>
        <w:tc>
          <w:tcPr>
            <w:tcW w:type="dxa" w:w="1900"/>
            <w:vAlign w:val="center"/>
            <w:tcMar>
              <w:top w:w="80" w:type="dxa"/>
              <w:start w:w="120" w:type="dxa"/>
              <w:bottom w:w="80" w:type="dxa"/>
              <w:end w:w="120" w:type="dxa"/>
            </w:tcMar>
          </w:tcPr>
          <w:p>
            <w:pPr>
              <w:spacing w:after="0" w:line="240" w:lineRule="auto"/>
            </w:pPr>
            <w:r>
              <w:rPr>
                <w:rFonts w:ascii="Calibri" w:hAnsi="Calibri"/>
                <w:color w:val="1F2937"/>
                <w:sz w:val="18"/>
              </w:rPr>
              <w:t>metric_code/category</w:t>
            </w:r>
          </w:p>
        </w:tc>
        <w:tc>
          <w:tcPr>
            <w:tcW w:type="dxa" w:w="7460"/>
            <w:vAlign w:val="center"/>
            <w:tcMar>
              <w:top w:w="80" w:type="dxa"/>
              <w:start w:w="120" w:type="dxa"/>
              <w:bottom w:w="80" w:type="dxa"/>
              <w:end w:w="120" w:type="dxa"/>
            </w:tcMar>
          </w:tcPr>
          <w:p>
            <w:pPr>
              <w:spacing w:after="0" w:line="240" w:lineRule="auto"/>
            </w:pPr>
            <w:r>
              <w:rPr>
                <w:rFonts w:ascii="Calibri" w:hAnsi="Calibri"/>
                <w:color w:val="1F2937"/>
                <w:sz w:val="18"/>
              </w:rPr>
              <w:t>Versioned whitelist; unknown values return field error; no dynamic column or arbitrary publisher category.</w:t>
            </w:r>
          </w:p>
        </w:tc>
      </w:tr>
    </w:tbl>
    <w:p>
      <w:pPr>
        <w:spacing w:after="40"/>
      </w:pPr>
    </w:p>
    <w:p>
      <w:pPr>
        <w:pStyle w:val="Heading1"/>
      </w:pPr>
      <w:r>
        <w:t>Appendix B - Source register</w:t>
      </w:r>
    </w:p>
    <w:p>
      <w:pPr>
        <w:spacing w:after="140"/>
      </w:pPr>
      <w:r>
        <w:rPr>
          <w:rFonts w:ascii="Calibri" w:hAnsi="Calibri"/>
          <w:b/>
          <w:color w:val="17324D"/>
          <w:sz w:val="20"/>
        </w:rPr>
        <w:t xml:space="preserve">D1  </w:t>
      </w:r>
      <w:hyperlink r:id="rId13">
        <w:r>
          <w:rPr>
            <w:rFonts w:ascii="Calibri" w:hAnsi="Calibri"/>
            <w:color w:val="2E74B5"/>
            <w:u w:val="single"/>
          </w:rPr>
          <w:t>NSW Spatial Services - Suburb GDA2020 service</w:t>
        </w:r>
      </w:hyperlink>
      <w:r>
        <w:rPr>
          <w:rFonts w:ascii="Calibri" w:hAnsi="Calibri"/>
          <w:color w:val="667085"/>
          <w:sz w:val="17"/>
        </w:rPr>
        <w:br/>
        <w:t>https://data.nsw.gov.au/data/dataset/1-56651906158a416e94fd244201782464</w:t>
      </w:r>
    </w:p>
    <w:p>
      <w:pPr>
        <w:spacing w:after="140"/>
      </w:pPr>
      <w:r>
        <w:rPr>
          <w:rFonts w:ascii="Calibri" w:hAnsi="Calibri"/>
          <w:b/>
          <w:color w:val="17324D"/>
          <w:sz w:val="20"/>
        </w:rPr>
        <w:t xml:space="preserve">D2  </w:t>
      </w:r>
      <w:hyperlink r:id="rId14">
        <w:r>
          <w:rPr>
            <w:rFonts w:ascii="Calibri" w:hAnsi="Calibri"/>
            <w:color w:val="2E74B5"/>
            <w:u w:val="single"/>
          </w:rPr>
          <w:t>NSW Spatial Services - Local Government Area GDA2020 service</w:t>
        </w:r>
      </w:hyperlink>
      <w:r>
        <w:rPr>
          <w:rFonts w:ascii="Calibri" w:hAnsi="Calibri"/>
          <w:color w:val="667085"/>
          <w:sz w:val="17"/>
        </w:rPr>
        <w:br/>
        <w:t>https://www.data.nsw.gov.au/data/dataset/1-3c8278222ddf4908a9a6e256d9847e6f</w:t>
      </w:r>
    </w:p>
    <w:p>
      <w:pPr>
        <w:spacing w:after="140"/>
      </w:pPr>
      <w:r>
        <w:rPr>
          <w:rFonts w:ascii="Calibri" w:hAnsi="Calibri"/>
          <w:b/>
          <w:color w:val="17324D"/>
          <w:sz w:val="20"/>
        </w:rPr>
        <w:t xml:space="preserve">D3  </w:t>
      </w:r>
      <w:hyperlink r:id="rId15">
        <w:r>
          <w:rPr>
            <w:rFonts w:ascii="Calibri" w:hAnsi="Calibri"/>
            <w:color w:val="2E74B5"/>
            <w:u w:val="single"/>
          </w:rPr>
          <w:t>ABS - Suburbs and Localities / ASGS</w:t>
        </w:r>
      </w:hyperlink>
      <w:r>
        <w:rPr>
          <w:rFonts w:ascii="Calibri" w:hAnsi="Calibri"/>
          <w:color w:val="667085"/>
          <w:sz w:val="17"/>
        </w:rPr>
        <w:br/>
        <w:t>https://www.abs.gov.au/statistics/standards/australian-statistical-geography-standard-asgs/edition-3-july-2021-june-2026/non-abs-structures/suburbs-and-localities</w:t>
      </w:r>
    </w:p>
    <w:p>
      <w:pPr>
        <w:spacing w:after="140"/>
      </w:pPr>
      <w:r>
        <w:rPr>
          <w:rFonts w:ascii="Calibri" w:hAnsi="Calibri"/>
          <w:b/>
          <w:color w:val="17324D"/>
          <w:sz w:val="20"/>
        </w:rPr>
        <w:t xml:space="preserve">D3a  </w:t>
      </w:r>
      <w:hyperlink r:id="rId16">
        <w:r>
          <w:rPr>
            <w:rFonts w:ascii="Calibri" w:hAnsi="Calibri"/>
            <w:color w:val="2E74B5"/>
            <w:u w:val="single"/>
          </w:rPr>
          <w:t>ABS - ASGS allocation files</w:t>
        </w:r>
      </w:hyperlink>
      <w:r>
        <w:rPr>
          <w:rFonts w:ascii="Calibri" w:hAnsi="Calibri"/>
          <w:color w:val="667085"/>
          <w:sz w:val="17"/>
        </w:rPr>
        <w:br/>
        <w:t>https://www.abs.gov.au/statistics/standards/australian-statistical-geography-standard-asgs/edition-3-july-2021-june-2026/access-and-downloads/allocation-files</w:t>
      </w:r>
    </w:p>
    <w:p>
      <w:pPr>
        <w:spacing w:after="140"/>
      </w:pPr>
      <w:r>
        <w:rPr>
          <w:rFonts w:ascii="Calibri" w:hAnsi="Calibri"/>
          <w:b/>
          <w:color w:val="17324D"/>
          <w:sz w:val="20"/>
        </w:rPr>
        <w:t xml:space="preserve">D4  </w:t>
      </w:r>
      <w:hyperlink r:id="rId17">
        <w:r>
          <w:rPr>
            <w:rFonts w:ascii="Calibri" w:hAnsi="Calibri"/>
            <w:color w:val="2E74B5"/>
            <w:u w:val="single"/>
          </w:rPr>
          <w:t>ABS - Census DataPacks</w:t>
        </w:r>
      </w:hyperlink>
      <w:r>
        <w:rPr>
          <w:rFonts w:ascii="Calibri" w:hAnsi="Calibri"/>
          <w:color w:val="667085"/>
          <w:sz w:val="17"/>
        </w:rPr>
        <w:br/>
        <w:t>https://www.abs.gov.au/census/find-census-data/datapacks</w:t>
      </w:r>
    </w:p>
    <w:p>
      <w:pPr>
        <w:spacing w:after="140"/>
      </w:pPr>
      <w:r>
        <w:rPr>
          <w:rFonts w:ascii="Calibri" w:hAnsi="Calibri"/>
          <w:b/>
          <w:color w:val="17324D"/>
          <w:sz w:val="20"/>
        </w:rPr>
        <w:t xml:space="preserve">D5  </w:t>
      </w:r>
      <w:hyperlink r:id="rId18">
        <w:r>
          <w:rPr>
            <w:rFonts w:ascii="Calibri" w:hAnsi="Calibri"/>
            <w:color w:val="2E74B5"/>
            <w:u w:val="single"/>
          </w:rPr>
          <w:t>ABS - SEIFA 2021</w:t>
        </w:r>
      </w:hyperlink>
      <w:r>
        <w:rPr>
          <w:rFonts w:ascii="Calibri" w:hAnsi="Calibri"/>
          <w:color w:val="667085"/>
          <w:sz w:val="17"/>
        </w:rPr>
        <w:br/>
        <w:t>https://www.abs.gov.au/statistics/people/people-and-communities/socio-economic-indexes-areas-seifa-australia/latest-release</w:t>
      </w:r>
    </w:p>
    <w:p>
      <w:pPr>
        <w:spacing w:after="140"/>
      </w:pPr>
      <w:r>
        <w:rPr>
          <w:rFonts w:ascii="Calibri" w:hAnsi="Calibri"/>
          <w:b/>
          <w:color w:val="17324D"/>
          <w:sz w:val="20"/>
        </w:rPr>
        <w:t xml:space="preserve">D6  </w:t>
      </w:r>
      <w:hyperlink r:id="rId19">
        <w:r>
          <w:rPr>
            <w:rFonts w:ascii="Calibri" w:hAnsi="Calibri"/>
            <w:color w:val="2E74B5"/>
            <w:u w:val="single"/>
          </w:rPr>
          <w:t>NSW BOCSAR - Criminal incident data</w:t>
        </w:r>
      </w:hyperlink>
      <w:r>
        <w:rPr>
          <w:rFonts w:ascii="Calibri" w:hAnsi="Calibri"/>
          <w:color w:val="667085"/>
          <w:sz w:val="17"/>
        </w:rPr>
        <w:br/>
        <w:t>https://bocsar.nsw.gov.au/statistics-dashboards/open-datasets/criminal-offences-data.html</w:t>
      </w:r>
    </w:p>
    <w:p>
      <w:pPr>
        <w:spacing w:after="140"/>
      </w:pPr>
      <w:r>
        <w:rPr>
          <w:rFonts w:ascii="Calibri" w:hAnsi="Calibri"/>
          <w:b/>
          <w:color w:val="17324D"/>
          <w:sz w:val="20"/>
        </w:rPr>
        <w:t xml:space="preserve">D7  </w:t>
      </w:r>
      <w:hyperlink r:id="rId20">
        <w:r>
          <w:rPr>
            <w:rFonts w:ascii="Calibri" w:hAnsi="Calibri"/>
            <w:color w:val="2E74B5"/>
            <w:u w:val="single"/>
          </w:rPr>
          <w:t>Transport for NSW - Timetables Complete GTFS</w:t>
        </w:r>
      </w:hyperlink>
      <w:r>
        <w:rPr>
          <w:rFonts w:ascii="Calibri" w:hAnsi="Calibri"/>
          <w:color w:val="667085"/>
          <w:sz w:val="17"/>
        </w:rPr>
        <w:br/>
        <w:t>https://opendata.transport.nsw.gov.au/data/dataset/timetables-complete-gtfs</w:t>
      </w:r>
    </w:p>
    <w:p>
      <w:pPr>
        <w:spacing w:after="140"/>
      </w:pPr>
      <w:r>
        <w:rPr>
          <w:rFonts w:ascii="Calibri" w:hAnsi="Calibri"/>
          <w:b/>
          <w:color w:val="17324D"/>
          <w:sz w:val="20"/>
        </w:rPr>
        <w:t xml:space="preserve">D8  </w:t>
      </w:r>
      <w:hyperlink r:id="rId21">
        <w:r>
          <w:rPr>
            <w:rFonts w:ascii="Calibri" w:hAnsi="Calibri"/>
            <w:color w:val="2E74B5"/>
            <w:u w:val="single"/>
          </w:rPr>
          <w:t>Data.NSW - NSW public schools master dataset</w:t>
        </w:r>
      </w:hyperlink>
      <w:r>
        <w:rPr>
          <w:rFonts w:ascii="Calibri" w:hAnsi="Calibri"/>
          <w:color w:val="667085"/>
          <w:sz w:val="17"/>
        </w:rPr>
        <w:br/>
        <w:t>https://data.nsw.gov.au/data/en/dataset/nsw-education-nsw-public-schools-master-dataset</w:t>
      </w:r>
    </w:p>
    <w:p>
      <w:pPr>
        <w:spacing w:after="140"/>
      </w:pPr>
      <w:r>
        <w:rPr>
          <w:rFonts w:ascii="Calibri" w:hAnsi="Calibri"/>
          <w:b/>
          <w:color w:val="17324D"/>
          <w:sz w:val="20"/>
        </w:rPr>
        <w:t xml:space="preserve">D9  </w:t>
      </w:r>
      <w:hyperlink r:id="rId22">
        <w:r>
          <w:rPr>
            <w:rFonts w:ascii="Calibri" w:hAnsi="Calibri"/>
            <w:color w:val="2E74B5"/>
            <w:u w:val="single"/>
          </w:rPr>
          <w:t>Data.NSW - NSW Points of Interest</w:t>
        </w:r>
      </w:hyperlink>
      <w:r>
        <w:rPr>
          <w:rFonts w:ascii="Calibri" w:hAnsi="Calibri"/>
          <w:color w:val="667085"/>
          <w:sz w:val="17"/>
        </w:rPr>
        <w:br/>
        <w:t>https://data.nsw.gov.au/data/dataset/nsw-points-of-interest-poi</w:t>
      </w:r>
    </w:p>
    <w:p>
      <w:pPr>
        <w:spacing w:after="140"/>
      </w:pPr>
      <w:r>
        <w:rPr>
          <w:rFonts w:ascii="Calibri" w:hAnsi="Calibri"/>
          <w:b/>
          <w:color w:val="17324D"/>
          <w:sz w:val="20"/>
        </w:rPr>
        <w:t xml:space="preserve">D10  </w:t>
      </w:r>
      <w:hyperlink r:id="rId23">
        <w:r>
          <w:rPr>
            <w:rFonts w:ascii="Calibri" w:hAnsi="Calibri"/>
            <w:color w:val="2E74B5"/>
            <w:u w:val="single"/>
          </w:rPr>
          <w:t>Data.NSW - NSW Hospitals</w:t>
        </w:r>
      </w:hyperlink>
      <w:r>
        <w:rPr>
          <w:rFonts w:ascii="Calibri" w:hAnsi="Calibri"/>
          <w:color w:val="667085"/>
          <w:sz w:val="17"/>
        </w:rPr>
        <w:br/>
        <w:t>https://data.nsw.gov.au/data/en/dataset/nsw-hospitals</w:t>
      </w:r>
    </w:p>
    <w:p>
      <w:pPr>
        <w:spacing w:after="140"/>
      </w:pPr>
      <w:r>
        <w:rPr>
          <w:rFonts w:ascii="Calibri" w:hAnsi="Calibri"/>
          <w:b/>
          <w:color w:val="17324D"/>
          <w:sz w:val="20"/>
        </w:rPr>
        <w:t xml:space="preserve">D11  </w:t>
      </w:r>
      <w:hyperlink r:id="rId24">
        <w:r>
          <w:rPr>
            <w:rFonts w:ascii="Calibri" w:hAnsi="Calibri"/>
            <w:color w:val="2E74B5"/>
            <w:u w:val="single"/>
          </w:rPr>
          <w:t>Australian Urban Observatory - Liveability methodology</w:t>
        </w:r>
      </w:hyperlink>
      <w:r>
        <w:rPr>
          <w:rFonts w:ascii="Calibri" w:hAnsi="Calibri"/>
          <w:color w:val="667085"/>
          <w:sz w:val="17"/>
        </w:rPr>
        <w:br/>
        <w:t>https://auo.org.au/portal/metadata/urban-liveability-index/</w:t>
      </w:r>
    </w:p>
    <w:p>
      <w:pPr>
        <w:pStyle w:val="Heading2"/>
      </w:pPr>
      <w:r>
        <w:t>Project and course sources</w:t>
      </w:r>
    </w:p>
    <w:p>
      <w:pPr>
        <w:numPr>
          <w:ilvl w:val="0"/>
          <w:numId w:val="1"/>
        </w:numPr>
        <w:spacing w:after="160" w:line="280" w:lineRule="auto"/>
      </w:pPr>
      <w:r>
        <w:rPr>
          <w:rFonts w:ascii="Calibri" w:hAnsi="Calibri"/>
        </w:rPr>
        <w:t>ASD_2026_Project_Specifications.pdf (attached course specification; reviewed in full, 22 pages).</w:t>
      </w:r>
    </w:p>
    <w:p>
      <w:pPr>
        <w:numPr>
          <w:ilvl w:val="0"/>
          <w:numId w:val="1"/>
        </w:numPr>
        <w:spacing w:after="160" w:line="280" w:lineRule="auto"/>
      </w:pPr>
      <w:r>
        <w:rPr>
          <w:rFonts w:ascii="Calibri" w:hAnsi="Calibri"/>
        </w:rPr>
        <w:t>Repository README.md and CONTRIBUTING.md.</w:t>
      </w:r>
    </w:p>
    <w:p>
      <w:pPr>
        <w:numPr>
          <w:ilvl w:val="0"/>
          <w:numId w:val="1"/>
        </w:numPr>
        <w:spacing w:after="160" w:line="280" w:lineRule="auto"/>
      </w:pPr>
      <w:r>
        <w:rPr>
          <w:rFonts w:ascii="Calibri" w:hAnsi="Calibri"/>
        </w:rPr>
        <w:t>student-3/README.md - approved Feature 3 ownership and minimum boundary.</w:t>
      </w:r>
    </w:p>
    <w:p>
      <w:pPr>
        <w:numPr>
          <w:ilvl w:val="0"/>
          <w:numId w:val="1"/>
        </w:numPr>
        <w:spacing w:after="160" w:line="280" w:lineRule="auto"/>
      </w:pPr>
      <w:r>
        <w:rPr>
          <w:rFonts w:ascii="Calibri" w:hAnsi="Calibri"/>
        </w:rPr>
        <w:t>docs/architecture/registered-feature-scope.md - approved allocation and assessed responsibilities.</w:t>
      </w:r>
    </w:p>
    <w:p>
      <w:pPr>
        <w:numPr>
          <w:ilvl w:val="0"/>
          <w:numId w:val="1"/>
        </w:numPr>
        <w:spacing w:after="160" w:line="280" w:lineRule="auto"/>
      </w:pPr>
      <w:r>
        <w:rPr>
          <w:rFonts w:ascii="Calibri" w:hAnsi="Calibri"/>
        </w:rPr>
        <w:t>docs/architecture/shared-platform-design.md - living service, database, AI, contract, deployment, and quality architecture.</w:t>
      </w:r>
    </w:p>
    <w:p>
      <w:pPr>
        <w:numPr>
          <w:ilvl w:val="0"/>
          <w:numId w:val="1"/>
        </w:numPr>
        <w:spacing w:after="160" w:line="280" w:lineRule="auto"/>
      </w:pPr>
      <w:r>
        <w:rPr>
          <w:rFonts w:ascii="Calibri" w:hAnsi="Calibri"/>
        </w:rPr>
        <w:t>docs/architecture/feature-integration-and-experience-contract.md - canonical route, cross-feature, evidence, failure, and UI integration rules.</w:t>
      </w:r>
    </w:p>
    <w:p>
      <w:pPr>
        <w:pStyle w:val="Heading2"/>
      </w:pPr>
      <w:r>
        <w:t>Research interpretation notes</w:t>
      </w:r>
    </w:p>
    <w:p>
      <w:pPr>
        <w:numPr>
          <w:ilvl w:val="0"/>
          <w:numId w:val="1"/>
        </w:numPr>
        <w:spacing w:after="160" w:line="280" w:lineRule="auto"/>
      </w:pPr>
      <w:r>
        <w:rPr>
          <w:rFonts w:ascii="Calibri" w:hAnsi="Calibri"/>
        </w:rPr>
        <w:t>The BOCSAR page reviewed on 2 September 2026 described monthly recorded criminal incident datasets, with NSW/LGA data through March 2026 and suburb coverage through 2025. The ingestion adapter must use the actual downloaded file metadata rather than hard-coded dates from this plan.</w:t>
      </w:r>
    </w:p>
    <w:p>
      <w:pPr>
        <w:numPr>
          <w:ilvl w:val="0"/>
          <w:numId w:val="1"/>
        </w:numPr>
        <w:spacing w:after="160" w:line="280" w:lineRule="auto"/>
      </w:pPr>
      <w:r>
        <w:rPr>
          <w:rFonts w:ascii="Calibri" w:hAnsi="Calibri"/>
        </w:rPr>
        <w:t>ABS states that SAL boundaries approximate official localities for statistical purposes and do not match official legal boundaries. This is the reason for the NSW identity anchor and versioned crosswalk.</w:t>
      </w:r>
    </w:p>
    <w:p>
      <w:pPr>
        <w:numPr>
          <w:ilvl w:val="0"/>
          <w:numId w:val="1"/>
        </w:numPr>
        <w:spacing w:after="160" w:line="280" w:lineRule="auto"/>
      </w:pPr>
      <w:r>
        <w:rPr>
          <w:rFonts w:ascii="Calibri" w:hAnsi="Calibri"/>
        </w:rPr>
        <w:t>The NSW school portal described monthly updates and published coordinates/type/enrolment fields; source-specific notes and suppression markers must be retained.</w:t>
      </w:r>
    </w:p>
    <w:p>
      <w:pPr>
        <w:numPr>
          <w:ilvl w:val="0"/>
          <w:numId w:val="1"/>
        </w:numPr>
        <w:spacing w:after="160" w:line="280" w:lineRule="auto"/>
      </w:pPr>
      <w:r>
        <w:rPr>
          <w:rFonts w:ascii="Calibri" w:hAnsi="Calibri"/>
        </w:rPr>
        <w:t>The TfNSW complete GTFS feed describes scheduled stops, routes, shapes, and timetables. Scheduled service must not be presented as actual punctuality or reliability.</w:t>
      </w:r>
    </w:p>
    <w:p>
      <w:pPr>
        <w:numPr>
          <w:ilvl w:val="0"/>
          <w:numId w:val="1"/>
        </w:numPr>
        <w:spacing w:after="160" w:line="280" w:lineRule="auto"/>
      </w:pPr>
      <w:r>
        <w:rPr>
          <w:rFonts w:ascii="Calibri" w:hAnsi="Calibri"/>
        </w:rPr>
        <w:t>The NSW POI service may thin or modify source attributes and may represent line/polygon features by a midpoint. This limitation belongs in amenity evidence and method text.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PROPERTYSCOPE  |  FEATURE 3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spacing w:after="160" w:line="280" w:lineRule="auto"/>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spacing w:after="160" w:line="28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ata.nsw.gov.au/data/dataset/1-56651906158a416e94fd244201782464" TargetMode="External"/><Relationship Id="rId14" Type="http://schemas.openxmlformats.org/officeDocument/2006/relationships/hyperlink" Target="https://www.data.nsw.gov.au/data/dataset/1-3c8278222ddf4908a9a6e256d9847e6f" TargetMode="External"/><Relationship Id="rId15" Type="http://schemas.openxmlformats.org/officeDocument/2006/relationships/hyperlink" Target="https://www.abs.gov.au/statistics/standards/australian-statistical-geography-standard-asgs/edition-3-july-2021-june-2026/non-abs-structures/suburbs-and-localities" TargetMode="External"/><Relationship Id="rId16" Type="http://schemas.openxmlformats.org/officeDocument/2006/relationships/hyperlink" Target="https://www.abs.gov.au/statistics/standards/australian-statistical-geography-standard-asgs/edition-3-july-2021-june-2026/access-and-downloads/allocation-files" TargetMode="External"/><Relationship Id="rId17" Type="http://schemas.openxmlformats.org/officeDocument/2006/relationships/hyperlink" Target="https://www.abs.gov.au/census/find-census-data/datapacks" TargetMode="External"/><Relationship Id="rId18" Type="http://schemas.openxmlformats.org/officeDocument/2006/relationships/hyperlink" Target="https://www.abs.gov.au/statistics/people/people-and-communities/socio-economic-indexes-areas-seifa-australia/latest-release" TargetMode="External"/><Relationship Id="rId19" Type="http://schemas.openxmlformats.org/officeDocument/2006/relationships/hyperlink" Target="https://bocsar.nsw.gov.au/statistics-dashboards/open-datasets/criminal-offences-data.html" TargetMode="External"/><Relationship Id="rId20" Type="http://schemas.openxmlformats.org/officeDocument/2006/relationships/hyperlink" Target="https://opendata.transport.nsw.gov.au/data/dataset/timetables-complete-gtfs" TargetMode="External"/><Relationship Id="rId21" Type="http://schemas.openxmlformats.org/officeDocument/2006/relationships/hyperlink" Target="https://data.nsw.gov.au/data/en/dataset/nsw-education-nsw-public-schools-master-dataset" TargetMode="External"/><Relationship Id="rId22" Type="http://schemas.openxmlformats.org/officeDocument/2006/relationships/hyperlink" Target="https://data.nsw.gov.au/data/dataset/nsw-points-of-interest-poi" TargetMode="External"/><Relationship Id="rId23" Type="http://schemas.openxmlformats.org/officeDocument/2006/relationships/hyperlink" Target="https://data.nsw.gov.au/data/en/dataset/nsw-hospitals" TargetMode="External"/><Relationship Id="rId24" Type="http://schemas.openxmlformats.org/officeDocument/2006/relationships/hyperlink" Target="https://auo.org.au/portal/metadata/urban-liveability-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PropertyScope - Suburb, Crime, and Liveability Analytics Feature Plan</dc:title>
  <dc:subject>Formal implementation plan for PropertyScope Feature 3</dc:subject>
  <dc:creator>PropertyScope Student 3</dc:creator>
  <cp:keywords>PropertyScope, NSW, suburb analytics, crime, liveability, feature plan</cp:keywords>
  <dc:description>generated by python-docx</dc:description>
  <cp:lastModifiedBy/>
  <cp:revision>1</cp:revision>
  <dcterms:created xsi:type="dcterms:W3CDTF">2013-12-23T23:15:00Z</dcterms:created>
  <dcterms:modified xsi:type="dcterms:W3CDTF">2013-12-23T23:15:00Z</dcterms:modified>
  <cp:category/>
</cp:coreProperties>
</file>