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rPr>
      </w:pPr>
      <w:r w:rsidDel="00000000" w:rsidR="00000000" w:rsidRPr="00000000">
        <w:rPr>
          <w:rtl w:val="0"/>
        </w:rPr>
      </w:r>
    </w:p>
    <w:p w:rsidR="00000000" w:rsidDel="00000000" w:rsidP="00000000" w:rsidRDefault="00000000" w:rsidRPr="00000000" w14:paraId="00000002">
      <w:pPr>
        <w:spacing w:line="240" w:lineRule="auto"/>
        <w:jc w:val="center"/>
        <w:rPr>
          <w:b w:val="1"/>
          <w:bCs w:val="1"/>
          <w:smallCaps w:val="1"/>
        </w:rPr>
      </w:pPr>
      <w:r w:rsidDel="00000000" w:rsidR="00000000" w:rsidRPr="00000000">
        <w:rPr>
          <w:b w:val="1"/>
          <w:bCs w:val="1"/>
          <w:smallCaps w:val="1"/>
          <w:rtl w:val="0"/>
        </w:rPr>
        <w:t xml:space="preserve">PROPOSTA DE TRABALHO FINAL – DIAGNÓSTICO SOCIOAMBIENTAL INTEGRADO</w:t>
        <w:br w:type="textWrapping"/>
        <w:br w:type="textWrapping"/>
      </w:r>
      <w:hyperlink r:id="rId6">
        <w:r w:rsidDel="00000000" w:rsidR="00000000" w:rsidRPr="00000000">
          <w:rPr>
            <w:b w:val="1"/>
            <w:bCs w:val="1"/>
            <w:smallCaps w:val="1"/>
            <w:color w:val="0000ee"/>
            <w:u w:val="single"/>
            <w:rtl w:val="0"/>
          </w:rPr>
          <w:t xml:space="preserve">Matheus Spadaro</w:t>
        </w:r>
      </w:hyperlink>
      <w:r w:rsidDel="00000000" w:rsidR="00000000" w:rsidRPr="00000000">
        <w:rPr>
          <w:b w:val="1"/>
          <w:bCs w:val="1"/>
          <w:smallCaps w:val="1"/>
          <w:rtl w:val="0"/>
        </w:rPr>
        <w:t xml:space="preserve"> - RA: 822389</w:t>
      </w:r>
    </w:p>
    <w:p w:rsidR="00000000" w:rsidDel="00000000" w:rsidP="00000000" w:rsidRDefault="00000000" w:rsidRPr="00000000" w14:paraId="00000003">
      <w:pPr>
        <w:spacing w:line="240" w:lineRule="auto"/>
        <w:jc w:val="center"/>
        <w:rPr>
          <w:b w:val="1"/>
          <w:bCs w:val="1"/>
          <w:smallCaps w:val="1"/>
        </w:rPr>
      </w:pPr>
      <w:r w:rsidDel="00000000" w:rsidR="00000000" w:rsidRPr="00000000">
        <w:rPr>
          <w:b w:val="1"/>
          <w:bCs w:val="1"/>
          <w:smallCaps w:val="1"/>
          <w:rtl w:val="0"/>
        </w:rPr>
        <w:t xml:space="preserve">Felipe Camargo - RA: 823676</w:t>
      </w:r>
    </w:p>
    <w:p w:rsidR="00000000" w:rsidDel="00000000" w:rsidP="00000000" w:rsidRDefault="00000000" w:rsidRPr="00000000" w14:paraId="00000004">
      <w:pPr>
        <w:spacing w:line="240" w:lineRule="auto"/>
        <w:jc w:val="both"/>
        <w:rPr/>
      </w:pPr>
      <w:r w:rsidDel="00000000" w:rsidR="00000000" w:rsidRPr="00000000">
        <w:rPr>
          <w:rtl w:val="0"/>
        </w:rPr>
      </w:r>
    </w:p>
    <w:p w:rsidR="00000000" w:rsidDel="00000000" w:rsidP="00000000" w:rsidRDefault="00000000" w:rsidRPr="00000000" w14:paraId="00000005">
      <w:pPr>
        <w:spacing w:line="240" w:lineRule="auto"/>
        <w:jc w:val="both"/>
        <w:rPr/>
      </w:pPr>
      <w:r w:rsidDel="00000000" w:rsidR="00000000" w:rsidRPr="00000000">
        <w:rPr>
          <w:rtl w:val="0"/>
        </w:rPr>
      </w:r>
    </w:p>
    <w:p w:rsidR="00000000" w:rsidDel="00000000" w:rsidP="00000000" w:rsidRDefault="00000000" w:rsidRPr="00000000" w14:paraId="00000006">
      <w:pPr>
        <w:spacing w:line="240" w:lineRule="auto"/>
        <w:jc w:val="both"/>
        <w:rPr/>
      </w:pPr>
      <w:r w:rsidDel="00000000" w:rsidR="00000000" w:rsidRPr="00000000">
        <w:rPr>
          <w:rtl w:val="0"/>
        </w:rPr>
      </w:r>
    </w:p>
    <w:p w:rsidR="00000000" w:rsidDel="00000000" w:rsidP="00000000" w:rsidRDefault="00000000" w:rsidRPr="00000000" w14:paraId="00000007">
      <w:pPr>
        <w:spacing w:line="240" w:lineRule="auto"/>
        <w:jc w:val="both"/>
        <w:rPr>
          <w:b w:val="1"/>
          <w:bCs w:val="1"/>
        </w:rPr>
      </w:pPr>
      <w:r w:rsidDel="00000000" w:rsidR="00000000" w:rsidRPr="00000000">
        <w:rPr>
          <w:b w:val="1"/>
          <w:bCs w:val="1"/>
          <w:rtl w:val="0"/>
        </w:rPr>
        <w:t xml:space="preserve">1. Título provisório do trabalho</w:t>
        <w:br w:type="textWrapping"/>
      </w:r>
    </w:p>
    <w:p w:rsidR="00000000" w:rsidDel="00000000" w:rsidP="00000000" w:rsidRDefault="00000000" w:rsidRPr="00000000" w14:paraId="00000008">
      <w:pPr>
        <w:spacing w:line="240" w:lineRule="auto"/>
        <w:jc w:val="both"/>
        <w:rPr>
          <w:i w:val="1"/>
          <w:iCs w:val="1"/>
        </w:rPr>
      </w:pPr>
      <w:r w:rsidDel="00000000" w:rsidR="00000000" w:rsidRPr="00000000">
        <w:rPr>
          <w:i w:val="1"/>
          <w:iCs w:val="1"/>
          <w:rtl w:val="0"/>
        </w:rPr>
        <w:t xml:space="preserve">Expansão de infraestrutura de Data Centers, pressão sobre os recursos hídricos e vulnerabilidade socioambiental nos polos de Barueri e Campinas (SP)</w:t>
      </w:r>
      <w:r w:rsidDel="00000000" w:rsidR="00000000" w:rsidRPr="00000000">
        <w:rPr>
          <w:rtl w:val="0"/>
        </w:rPr>
      </w:r>
    </w:p>
    <w:p w:rsidR="00000000" w:rsidDel="00000000" w:rsidP="00000000" w:rsidRDefault="00000000" w:rsidRPr="00000000" w14:paraId="00000009">
      <w:pPr>
        <w:spacing w:line="240" w:lineRule="auto"/>
        <w:jc w:val="both"/>
        <w:rPr>
          <w:b w:val="1"/>
          <w:bCs w:val="1"/>
        </w:rPr>
      </w:pPr>
      <w:r w:rsidDel="00000000" w:rsidR="00000000" w:rsidRPr="00000000">
        <w:rPr>
          <w:rtl w:val="0"/>
        </w:rPr>
      </w:r>
    </w:p>
    <w:p w:rsidR="00000000" w:rsidDel="00000000" w:rsidP="00000000" w:rsidRDefault="00000000" w:rsidRPr="00000000" w14:paraId="0000000A">
      <w:pPr>
        <w:spacing w:line="240" w:lineRule="auto"/>
        <w:jc w:val="both"/>
        <w:rPr>
          <w:b w:val="1"/>
          <w:bCs w:val="1"/>
        </w:rPr>
      </w:pPr>
      <w:r w:rsidDel="00000000" w:rsidR="00000000" w:rsidRPr="00000000">
        <w:rPr>
          <w:rtl w:val="0"/>
        </w:rPr>
      </w:r>
    </w:p>
    <w:p w:rsidR="00000000" w:rsidDel="00000000" w:rsidP="00000000" w:rsidRDefault="00000000" w:rsidRPr="00000000" w14:paraId="0000000B">
      <w:pPr>
        <w:spacing w:line="240" w:lineRule="auto"/>
        <w:jc w:val="both"/>
        <w:rPr>
          <w:i w:val="1"/>
          <w:iCs w:val="1"/>
        </w:rPr>
      </w:pPr>
      <w:r w:rsidDel="00000000" w:rsidR="00000000" w:rsidRPr="00000000">
        <w:rPr>
          <w:b w:val="1"/>
          <w:bCs w:val="1"/>
          <w:rtl w:val="0"/>
        </w:rPr>
        <w:t xml:space="preserve">2. Delimitação territorial</w:t>
        <w:br w:type="textWrapping"/>
      </w:r>
      <w:r w:rsidDel="00000000" w:rsidR="00000000" w:rsidRPr="00000000">
        <w:rPr>
          <w:rtl w:val="0"/>
        </w:rPr>
      </w:r>
    </w:p>
    <w:p w:rsidR="00000000" w:rsidDel="00000000" w:rsidP="00000000" w:rsidRDefault="00000000" w:rsidRPr="00000000" w14:paraId="0000000C">
      <w:pPr>
        <w:numPr>
          <w:ilvl w:val="0"/>
          <w:numId w:val="4"/>
        </w:numPr>
        <w:spacing w:line="240" w:lineRule="auto"/>
        <w:ind w:left="720" w:hanging="360"/>
        <w:jc w:val="both"/>
        <w:rPr>
          <w:i w:val="1"/>
          <w:iCs w:val="1"/>
          <w:u w:val="none"/>
        </w:rPr>
      </w:pPr>
      <w:r w:rsidDel="00000000" w:rsidR="00000000" w:rsidRPr="00000000">
        <w:rPr>
          <w:b w:val="1"/>
          <w:bCs w:val="1"/>
          <w:i w:val="1"/>
          <w:iCs w:val="1"/>
          <w:rtl w:val="0"/>
        </w:rPr>
        <w:t xml:space="preserve">Unidade espacial</w:t>
      </w:r>
      <w:r w:rsidDel="00000000" w:rsidR="00000000" w:rsidRPr="00000000">
        <w:rPr>
          <w:i w:val="1"/>
          <w:iCs w:val="1"/>
          <w:rtl w:val="0"/>
        </w:rPr>
        <w:t xml:space="preserve">: Região Metropolitana de Campinas e município de Barueri.</w:t>
      </w:r>
    </w:p>
    <w:p w:rsidR="00000000" w:rsidDel="00000000" w:rsidP="00000000" w:rsidRDefault="00000000" w:rsidRPr="00000000" w14:paraId="0000000D">
      <w:pPr>
        <w:numPr>
          <w:ilvl w:val="0"/>
          <w:numId w:val="4"/>
        </w:numPr>
        <w:spacing w:line="240" w:lineRule="auto"/>
        <w:ind w:left="720" w:hanging="360"/>
        <w:jc w:val="both"/>
        <w:rPr>
          <w:i w:val="1"/>
          <w:iCs w:val="1"/>
          <w:u w:val="none"/>
        </w:rPr>
      </w:pPr>
      <w:r w:rsidDel="00000000" w:rsidR="00000000" w:rsidRPr="00000000">
        <w:rPr>
          <w:b w:val="1"/>
          <w:bCs w:val="1"/>
          <w:i w:val="1"/>
          <w:iCs w:val="1"/>
          <w:rtl w:val="0"/>
        </w:rPr>
        <w:t xml:space="preserve">Justificativa da escolha</w:t>
      </w:r>
      <w:r w:rsidDel="00000000" w:rsidR="00000000" w:rsidRPr="00000000">
        <w:rPr>
          <w:i w:val="1"/>
          <w:iCs w:val="1"/>
          <w:rtl w:val="0"/>
        </w:rPr>
        <w:t xml:space="preserve">: As regiões de Campinas e Barueri tendem a se consolidar como os mais importantes polos de data centers do Brasil. Apenas no estado de São Paulo, estudos mapeiam dezenas dessas infraestruturas, com concentrações massivas de capacidade de TI projetadas para Tamboré e Campinas pelas principais empresas do setor (como Scala, Ascenty, Equinix e ODATA).</w:t>
      </w:r>
    </w:p>
    <w:p w:rsidR="00000000" w:rsidDel="00000000" w:rsidP="00000000" w:rsidRDefault="00000000" w:rsidRPr="00000000" w14:paraId="0000000E">
      <w:pPr>
        <w:numPr>
          <w:ilvl w:val="0"/>
          <w:numId w:val="4"/>
        </w:numPr>
        <w:spacing w:line="240" w:lineRule="auto"/>
        <w:ind w:left="720" w:hanging="360"/>
        <w:jc w:val="both"/>
        <w:rPr>
          <w:i w:val="1"/>
          <w:iCs w:val="1"/>
          <w:u w:val="none"/>
        </w:rPr>
      </w:pPr>
      <w:r w:rsidDel="00000000" w:rsidR="00000000" w:rsidRPr="00000000">
        <w:rPr>
          <w:b w:val="1"/>
          <w:bCs w:val="1"/>
          <w:i w:val="1"/>
          <w:iCs w:val="1"/>
          <w:rtl w:val="0"/>
        </w:rPr>
        <w:t xml:space="preserve">Escala de análise</w:t>
      </w:r>
      <w:r w:rsidDel="00000000" w:rsidR="00000000" w:rsidRPr="00000000">
        <w:rPr>
          <w:i w:val="1"/>
          <w:iCs w:val="1"/>
          <w:rtl w:val="0"/>
        </w:rPr>
        <w:t xml:space="preserve">: Municipal e bacias hidrográficas (PCJ - Piracicaba, Capivari e Jundiaí, e Alto Tietê).</w:t>
      </w:r>
    </w:p>
    <w:p w:rsidR="00000000" w:rsidDel="00000000" w:rsidP="00000000" w:rsidRDefault="00000000" w:rsidRPr="00000000" w14:paraId="0000000F">
      <w:pPr>
        <w:spacing w:line="240" w:lineRule="auto"/>
        <w:jc w:val="both"/>
        <w:rPr>
          <w:b w:val="1"/>
          <w:bCs w:val="1"/>
        </w:rPr>
      </w:pPr>
      <w:r w:rsidDel="00000000" w:rsidR="00000000" w:rsidRPr="00000000">
        <w:rPr>
          <w:rtl w:val="0"/>
        </w:rPr>
      </w:r>
    </w:p>
    <w:p w:rsidR="00000000" w:rsidDel="00000000" w:rsidP="00000000" w:rsidRDefault="00000000" w:rsidRPr="00000000" w14:paraId="00000010">
      <w:pPr>
        <w:spacing w:line="240" w:lineRule="auto"/>
        <w:jc w:val="both"/>
        <w:rPr>
          <w:b w:val="1"/>
          <w:bCs w:val="1"/>
        </w:rPr>
      </w:pPr>
      <w:r w:rsidDel="00000000" w:rsidR="00000000" w:rsidRPr="00000000">
        <w:rPr>
          <w:rtl w:val="0"/>
        </w:rPr>
      </w:r>
    </w:p>
    <w:p w:rsidR="00000000" w:rsidDel="00000000" w:rsidP="00000000" w:rsidRDefault="00000000" w:rsidRPr="00000000" w14:paraId="00000011">
      <w:pPr>
        <w:spacing w:line="240" w:lineRule="auto"/>
        <w:jc w:val="both"/>
        <w:rPr>
          <w:b w:val="1"/>
          <w:bCs w:val="1"/>
        </w:rPr>
      </w:pPr>
      <w:r w:rsidDel="00000000" w:rsidR="00000000" w:rsidRPr="00000000">
        <w:rPr>
          <w:b w:val="1"/>
          <w:bCs w:val="1"/>
          <w:rtl w:val="0"/>
        </w:rPr>
        <w:t xml:space="preserve">3. Problema de pesquisa</w:t>
      </w:r>
    </w:p>
    <w:p w:rsidR="00000000" w:rsidDel="00000000" w:rsidP="00000000" w:rsidRDefault="00000000" w:rsidRPr="00000000" w14:paraId="00000012">
      <w:pPr>
        <w:spacing w:line="240" w:lineRule="auto"/>
        <w:jc w:val="both"/>
        <w:rPr>
          <w:i w:val="1"/>
          <w:iCs w:val="1"/>
        </w:rPr>
      </w:pPr>
      <w:r w:rsidDel="00000000" w:rsidR="00000000" w:rsidRPr="00000000">
        <w:rPr>
          <w:i w:val="1"/>
          <w:iCs w:val="1"/>
          <w:rtl w:val="0"/>
        </w:rPr>
        <w:br w:type="textWrapping"/>
      </w:r>
      <w:r w:rsidDel="00000000" w:rsidR="00000000" w:rsidRPr="00000000">
        <w:rPr>
          <w:i w:val="1"/>
          <w:iCs w:val="1"/>
          <w:rtl w:val="0"/>
        </w:rPr>
        <w:t xml:space="preserve">“Como a concentração de mega data centers nos polos de Barueri e Campinas afeta a demanda e a disponibilidade de recursos hídricos nas bacias locais, e de que forma essa pressão infraestrutural agrava a vulnerabilidade social e o risco de desabastecimento em territórios periféricos dessas regiões?”</w:t>
      </w:r>
    </w:p>
    <w:p w:rsidR="00000000" w:rsidDel="00000000" w:rsidP="00000000" w:rsidRDefault="00000000" w:rsidRPr="00000000" w14:paraId="00000013">
      <w:pPr>
        <w:spacing w:line="240" w:lineRule="auto"/>
        <w:jc w:val="both"/>
        <w:rPr>
          <w:i w:val="1"/>
          <w:iCs w:val="1"/>
        </w:rPr>
      </w:pPr>
      <w:r w:rsidDel="00000000" w:rsidR="00000000" w:rsidRPr="00000000">
        <w:rPr>
          <w:rtl w:val="0"/>
        </w:rPr>
      </w:r>
    </w:p>
    <w:p w:rsidR="00000000" w:rsidDel="00000000" w:rsidP="00000000" w:rsidRDefault="00000000" w:rsidRPr="00000000" w14:paraId="00000014">
      <w:pPr>
        <w:spacing w:line="240" w:lineRule="auto"/>
        <w:jc w:val="both"/>
        <w:rPr>
          <w:i w:val="1"/>
          <w:iCs w:val="1"/>
        </w:rPr>
      </w:pPr>
      <w:r w:rsidDel="00000000" w:rsidR="00000000" w:rsidRPr="00000000">
        <w:rPr>
          <w:rtl w:val="0"/>
        </w:rPr>
      </w:r>
    </w:p>
    <w:p w:rsidR="00000000" w:rsidDel="00000000" w:rsidP="00000000" w:rsidRDefault="00000000" w:rsidRPr="00000000" w14:paraId="00000015">
      <w:pPr>
        <w:spacing w:line="240" w:lineRule="auto"/>
        <w:jc w:val="both"/>
        <w:rPr>
          <w:b w:val="1"/>
          <w:bCs w:val="1"/>
        </w:rPr>
      </w:pPr>
      <w:r w:rsidDel="00000000" w:rsidR="00000000" w:rsidRPr="00000000">
        <w:rPr>
          <w:b w:val="1"/>
          <w:bCs w:val="1"/>
          <w:rtl w:val="0"/>
        </w:rPr>
        <w:t xml:space="preserve">4. Justificativa</w:t>
        <w:br w:type="textWrapping"/>
      </w:r>
    </w:p>
    <w:p w:rsidR="00000000" w:rsidDel="00000000" w:rsidP="00000000" w:rsidRDefault="00000000" w:rsidRPr="00000000" w14:paraId="00000016">
      <w:pPr>
        <w:spacing w:line="240" w:lineRule="auto"/>
        <w:ind w:firstLine="720"/>
        <w:jc w:val="both"/>
        <w:rPr>
          <w:i w:val="1"/>
          <w:iCs w:val="1"/>
        </w:rPr>
      </w:pPr>
      <w:r w:rsidDel="00000000" w:rsidR="00000000" w:rsidRPr="00000000">
        <w:rPr>
          <w:i w:val="1"/>
          <w:iCs w:val="1"/>
          <w:rtl w:val="0"/>
        </w:rPr>
        <w:t xml:space="preserve">A expansão da infraestrutura de inteligência artificial e serviços em nuvem no Brasil demanda a instalação de mega data centers que operam sob um rígido nexo entre água e energia para o resfriamento de servidores. Embora o setor de tecnologia frequentemente aponte que seu consumo hídrico total é marginal se comparado à agroindústria, a concentração geográfica dessas plantas em polos específicos, como Barueri e a Região Metropolitana de Campinas, cria "ilhas de demanda" críticas em bacias que já enfrentam estresse hídrico severo. O paradoxo técnico do resfriamento revela que sistemas de circuito fechado (a seco), embora reduzam o uso de água, aumentam drasticamente o consumo de energia elétrica, sobrecarregando a rede regional durante picos térmicos. A relevância deste diagnóstico reside na identificação de conflitos territoriais onde o uso industrial da água para manter a "nuvem" compete diretamente com o abastecimento humano em áreas de alta vulnerabilidade social. Diante da ausência de marcos regulatórios que exijam transparência sobre métricas de eficiência hídrica (WUE) e energética (PUE), esta análise espacial é fundamental para subsidiar políticas de licenciamento que garantam a segurança hídrica local e evitem a exacerbação de desigualdades socioambientais em cenários de crise climática.</w:t>
      </w:r>
    </w:p>
    <w:p w:rsidR="00000000" w:rsidDel="00000000" w:rsidP="00000000" w:rsidRDefault="00000000" w:rsidRPr="00000000" w14:paraId="00000017">
      <w:pPr>
        <w:spacing w:line="240" w:lineRule="auto"/>
        <w:jc w:val="both"/>
        <w:rPr>
          <w:b w:val="1"/>
          <w:bCs w:val="1"/>
        </w:rPr>
      </w:pPr>
      <w:r w:rsidDel="00000000" w:rsidR="00000000" w:rsidRPr="00000000">
        <w:rPr>
          <w:rtl w:val="0"/>
        </w:rPr>
      </w:r>
    </w:p>
    <w:p w:rsidR="00000000" w:rsidDel="00000000" w:rsidP="00000000" w:rsidRDefault="00000000" w:rsidRPr="00000000" w14:paraId="00000018">
      <w:pPr>
        <w:spacing w:line="240" w:lineRule="auto"/>
        <w:jc w:val="both"/>
        <w:rPr>
          <w:b w:val="1"/>
          <w:bCs w:val="1"/>
        </w:rPr>
      </w:pPr>
      <w:r w:rsidDel="00000000" w:rsidR="00000000" w:rsidRPr="00000000">
        <w:rPr>
          <w:rtl w:val="0"/>
        </w:rPr>
      </w:r>
    </w:p>
    <w:p w:rsidR="00000000" w:rsidDel="00000000" w:rsidP="00000000" w:rsidRDefault="00000000" w:rsidRPr="00000000" w14:paraId="00000019">
      <w:pPr>
        <w:spacing w:line="240" w:lineRule="auto"/>
        <w:jc w:val="both"/>
        <w:rPr>
          <w:b w:val="1"/>
          <w:bCs w:val="1"/>
        </w:rPr>
      </w:pPr>
      <w:r w:rsidDel="00000000" w:rsidR="00000000" w:rsidRPr="00000000">
        <w:rPr>
          <w:b w:val="1"/>
          <w:bCs w:val="1"/>
          <w:rtl w:val="0"/>
        </w:rPr>
        <w:t xml:space="preserve">5. Dimensão socioambiental integrada</w:t>
      </w:r>
    </w:p>
    <w:p w:rsidR="00000000" w:rsidDel="00000000" w:rsidP="00000000" w:rsidRDefault="00000000" w:rsidRPr="00000000" w14:paraId="0000001A">
      <w:pPr>
        <w:spacing w:line="240" w:lineRule="auto"/>
        <w:jc w:val="both"/>
        <w:rPr>
          <w:i w:val="1"/>
          <w:iCs w:val="1"/>
        </w:rPr>
      </w:pPr>
      <w:r w:rsidDel="00000000" w:rsidR="00000000" w:rsidRPr="00000000">
        <w:rPr>
          <w:i w:val="1"/>
          <w:iCs w:val="1"/>
          <w:rtl w:val="0"/>
        </w:rPr>
        <w:t xml:space="preserve">Indicador(es) social(is): Índice de Vulnerabilidade Social (IVS), dados do SNIS sobre continuidade do abastecimento de água e densidade populacional por setor censitário.</w:t>
      </w:r>
    </w:p>
    <w:p w:rsidR="00000000" w:rsidDel="00000000" w:rsidP="00000000" w:rsidRDefault="00000000" w:rsidRPr="00000000" w14:paraId="0000001B">
      <w:pPr>
        <w:spacing w:line="240" w:lineRule="auto"/>
        <w:jc w:val="both"/>
        <w:rPr>
          <w:i w:val="1"/>
          <w:iCs w:val="1"/>
        </w:rPr>
      </w:pPr>
      <w:r w:rsidDel="00000000" w:rsidR="00000000" w:rsidRPr="00000000">
        <w:rPr>
          <w:rtl w:val="0"/>
        </w:rPr>
      </w:r>
    </w:p>
    <w:p w:rsidR="00000000" w:rsidDel="00000000" w:rsidP="00000000" w:rsidRDefault="00000000" w:rsidRPr="00000000" w14:paraId="0000001C">
      <w:pPr>
        <w:spacing w:line="240" w:lineRule="auto"/>
        <w:jc w:val="both"/>
        <w:rPr>
          <w:i w:val="1"/>
          <w:iCs w:val="1"/>
        </w:rPr>
      </w:pPr>
      <w:r w:rsidDel="00000000" w:rsidR="00000000" w:rsidRPr="00000000">
        <w:rPr>
          <w:i w:val="1"/>
          <w:iCs w:val="1"/>
          <w:rtl w:val="0"/>
        </w:rPr>
        <w:t xml:space="preserve">Indicador(es) ambiental(is): Localização dos data centers, volume de outorgas de captação de água superficial/subterrânea (quando aplicável) e índice de criticidade hídrica das bacias contribuintes.</w:t>
      </w:r>
    </w:p>
    <w:p w:rsidR="00000000" w:rsidDel="00000000" w:rsidP="00000000" w:rsidRDefault="00000000" w:rsidRPr="00000000" w14:paraId="0000001D">
      <w:pPr>
        <w:spacing w:line="240" w:lineRule="auto"/>
        <w:jc w:val="both"/>
        <w:rPr>
          <w:i w:val="1"/>
          <w:iCs w:val="1"/>
        </w:rPr>
      </w:pPr>
      <w:r w:rsidDel="00000000" w:rsidR="00000000" w:rsidRPr="00000000">
        <w:rPr>
          <w:rtl w:val="0"/>
        </w:rPr>
      </w:r>
    </w:p>
    <w:p w:rsidR="00000000" w:rsidDel="00000000" w:rsidP="00000000" w:rsidRDefault="00000000" w:rsidRPr="00000000" w14:paraId="0000001E">
      <w:pPr>
        <w:numPr>
          <w:ilvl w:val="0"/>
          <w:numId w:val="1"/>
        </w:numPr>
        <w:spacing w:line="240" w:lineRule="auto"/>
        <w:ind w:left="720" w:hanging="360"/>
        <w:jc w:val="both"/>
        <w:rPr>
          <w:i w:val="1"/>
          <w:iCs w:val="1"/>
        </w:rPr>
      </w:pPr>
      <w:r w:rsidDel="00000000" w:rsidR="00000000" w:rsidRPr="00000000">
        <w:rPr>
          <w:i w:val="1"/>
          <w:iCs w:val="1"/>
          <w:rtl w:val="0"/>
        </w:rPr>
        <w:t xml:space="preserve">Esses indicadores dialogam entre si ao cruzar os áreas de vulnerabilidade social com as zonas de alto estresse hídrico e a localização dos data centers permite mapear uma possível injustiça ambiental ocorrendo. A intenção é verificar se as populações mais vulneráveis estão situadas em áreas onde a bacia hidrográfica sofre pressão combinada do abastecimento urbano comum e do uso industrial para resfriamento contínuo de servidores.</w:t>
        <w:br w:type="textWrapping"/>
      </w:r>
    </w:p>
    <w:p w:rsidR="00000000" w:rsidDel="00000000" w:rsidP="00000000" w:rsidRDefault="00000000" w:rsidRPr="00000000" w14:paraId="0000001F">
      <w:pPr>
        <w:spacing w:line="240" w:lineRule="auto"/>
        <w:ind w:left="720" w:firstLine="0"/>
        <w:jc w:val="both"/>
        <w:rPr>
          <w:i w:val="1"/>
          <w:iCs w:val="1"/>
        </w:rPr>
      </w:pPr>
      <w:r w:rsidDel="00000000" w:rsidR="00000000" w:rsidRPr="00000000">
        <w:rPr>
          <w:rtl w:val="0"/>
        </w:rPr>
      </w:r>
    </w:p>
    <w:p w:rsidR="00000000" w:rsidDel="00000000" w:rsidP="00000000" w:rsidRDefault="00000000" w:rsidRPr="00000000" w14:paraId="00000020">
      <w:pPr>
        <w:spacing w:line="240" w:lineRule="auto"/>
        <w:jc w:val="both"/>
        <w:rPr>
          <w:b w:val="1"/>
          <w:bCs w:val="1"/>
        </w:rPr>
      </w:pPr>
      <w:r w:rsidDel="00000000" w:rsidR="00000000" w:rsidRPr="00000000">
        <w:rPr>
          <w:b w:val="1"/>
          <w:bCs w:val="1"/>
          <w:rtl w:val="0"/>
        </w:rPr>
        <w:t xml:space="preserve">6. Bases de dados pretendidas</w:t>
      </w:r>
    </w:p>
    <w:p w:rsidR="00000000" w:rsidDel="00000000" w:rsidP="00000000" w:rsidRDefault="00000000" w:rsidRPr="00000000" w14:paraId="00000021">
      <w:pPr>
        <w:spacing w:line="240" w:lineRule="auto"/>
        <w:jc w:val="both"/>
        <w:rPr>
          <w:i w:val="1"/>
          <w:iCs w:val="1"/>
        </w:rPr>
      </w:pPr>
      <w:r w:rsidDel="00000000" w:rsidR="00000000" w:rsidRPr="00000000">
        <w:rPr>
          <w:i w:val="1"/>
          <w:iCs w:val="1"/>
          <w:rtl w:val="0"/>
        </w:rPr>
        <w:t xml:space="preserve">Liste as fontes que pretende utilizar.</w:t>
      </w:r>
    </w:p>
    <w:p w:rsidR="00000000" w:rsidDel="00000000" w:rsidP="00000000" w:rsidRDefault="00000000" w:rsidRPr="00000000" w14:paraId="00000022">
      <w:pPr>
        <w:spacing w:line="240" w:lineRule="auto"/>
        <w:jc w:val="both"/>
        <w:rPr>
          <w:i w:val="1"/>
          <w:iCs w:val="1"/>
        </w:rPr>
      </w:pPr>
      <w:r w:rsidDel="00000000" w:rsidR="00000000" w:rsidRPr="00000000">
        <w:rPr>
          <w:i w:val="1"/>
          <w:iCs w:val="1"/>
          <w:rtl w:val="0"/>
        </w:rPr>
        <w:t xml:space="preserve">Exemplo:</w:t>
      </w:r>
    </w:p>
    <w:p w:rsidR="00000000" w:rsidDel="00000000" w:rsidP="00000000" w:rsidRDefault="00000000" w:rsidRPr="00000000" w14:paraId="00000023">
      <w:pPr>
        <w:numPr>
          <w:ilvl w:val="0"/>
          <w:numId w:val="2"/>
        </w:numPr>
        <w:spacing w:line="240" w:lineRule="auto"/>
        <w:ind w:left="720" w:hanging="360"/>
        <w:jc w:val="both"/>
        <w:rPr>
          <w:i w:val="1"/>
          <w:iCs w:val="1"/>
          <w:sz w:val="20"/>
          <w:szCs w:val="20"/>
        </w:rPr>
      </w:pPr>
      <w:r w:rsidDel="00000000" w:rsidR="00000000" w:rsidRPr="00000000">
        <w:rPr>
          <w:i w:val="1"/>
          <w:iCs w:val="1"/>
          <w:rtl w:val="0"/>
        </w:rPr>
        <w:t xml:space="preserve">Comitê Gestor da Internet no Brasil (CGI.br) / IP.rec / Idec</w:t>
      </w:r>
    </w:p>
    <w:p w:rsidR="00000000" w:rsidDel="00000000" w:rsidP="00000000" w:rsidRDefault="00000000" w:rsidRPr="00000000" w14:paraId="00000024">
      <w:pPr>
        <w:numPr>
          <w:ilvl w:val="0"/>
          <w:numId w:val="2"/>
        </w:numPr>
        <w:spacing w:line="240" w:lineRule="auto"/>
        <w:ind w:left="720" w:hanging="360"/>
        <w:jc w:val="both"/>
        <w:rPr>
          <w:i w:val="1"/>
          <w:iCs w:val="1"/>
          <w:sz w:val="20"/>
          <w:szCs w:val="20"/>
        </w:rPr>
      </w:pPr>
      <w:r w:rsidDel="00000000" w:rsidR="00000000" w:rsidRPr="00000000">
        <w:rPr>
          <w:i w:val="1"/>
          <w:iCs w:val="1"/>
          <w:rtl w:val="0"/>
        </w:rPr>
        <w:t xml:space="preserve">DAEE </w:t>
      </w:r>
    </w:p>
    <w:p w:rsidR="00000000" w:rsidDel="00000000" w:rsidP="00000000" w:rsidRDefault="00000000" w:rsidRPr="00000000" w14:paraId="00000025">
      <w:pPr>
        <w:numPr>
          <w:ilvl w:val="0"/>
          <w:numId w:val="2"/>
        </w:numPr>
        <w:spacing w:line="240" w:lineRule="auto"/>
        <w:ind w:left="720" w:hanging="360"/>
        <w:jc w:val="both"/>
        <w:rPr>
          <w:i w:val="1"/>
          <w:iCs w:val="1"/>
          <w:sz w:val="20"/>
          <w:szCs w:val="20"/>
        </w:rPr>
      </w:pPr>
      <w:r w:rsidDel="00000000" w:rsidR="00000000" w:rsidRPr="00000000">
        <w:rPr>
          <w:i w:val="1"/>
          <w:iCs w:val="1"/>
          <w:rtl w:val="0"/>
        </w:rPr>
        <w:t xml:space="preserve">Agência Nacional de Águas </w:t>
      </w:r>
    </w:p>
    <w:p w:rsidR="00000000" w:rsidDel="00000000" w:rsidP="00000000" w:rsidRDefault="00000000" w:rsidRPr="00000000" w14:paraId="00000026">
      <w:pPr>
        <w:numPr>
          <w:ilvl w:val="0"/>
          <w:numId w:val="2"/>
        </w:numPr>
        <w:spacing w:line="240" w:lineRule="auto"/>
        <w:ind w:left="720" w:hanging="360"/>
        <w:jc w:val="both"/>
        <w:rPr>
          <w:i w:val="1"/>
          <w:iCs w:val="1"/>
          <w:sz w:val="20"/>
          <w:szCs w:val="20"/>
        </w:rPr>
      </w:pPr>
      <w:r w:rsidDel="00000000" w:rsidR="00000000" w:rsidRPr="00000000">
        <w:rPr>
          <w:i w:val="1"/>
          <w:iCs w:val="1"/>
          <w:rtl w:val="0"/>
        </w:rPr>
        <w:t xml:space="preserve">IBGE / IPEA</w:t>
      </w:r>
    </w:p>
    <w:p w:rsidR="00000000" w:rsidDel="00000000" w:rsidP="00000000" w:rsidRDefault="00000000" w:rsidRPr="00000000" w14:paraId="00000027">
      <w:pPr>
        <w:spacing w:line="240" w:lineRule="auto"/>
        <w:ind w:left="720" w:firstLine="0"/>
        <w:jc w:val="both"/>
        <w:rPr>
          <w:i w:val="1"/>
          <w:iCs w:val="1"/>
        </w:rPr>
      </w:pPr>
      <w:r w:rsidDel="00000000" w:rsidR="00000000" w:rsidRPr="00000000">
        <w:rPr>
          <w:rtl w:val="0"/>
        </w:rPr>
      </w:r>
    </w:p>
    <w:p w:rsidR="00000000" w:rsidDel="00000000" w:rsidP="00000000" w:rsidRDefault="00000000" w:rsidRPr="00000000" w14:paraId="00000028">
      <w:pPr>
        <w:spacing w:line="240" w:lineRule="auto"/>
        <w:ind w:left="720" w:firstLine="0"/>
        <w:jc w:val="both"/>
        <w:rPr>
          <w:i w:val="1"/>
          <w:iCs w:val="1"/>
        </w:rPr>
      </w:pPr>
      <w:r w:rsidDel="00000000" w:rsidR="00000000" w:rsidRPr="00000000">
        <w:rPr>
          <w:rtl w:val="0"/>
        </w:rPr>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8"/>
        <w:gridCol w:w="1699"/>
        <w:gridCol w:w="1699"/>
        <w:gridCol w:w="1699"/>
        <w:gridCol w:w="1699"/>
        <w:tblGridChange w:id="0">
          <w:tblGrid>
            <w:gridCol w:w="1698"/>
            <w:gridCol w:w="1699"/>
            <w:gridCol w:w="1699"/>
            <w:gridCol w:w="1699"/>
            <w:gridCol w:w="1699"/>
          </w:tblGrid>
        </w:tblGridChange>
      </w:tblGrid>
      <w:tr>
        <w:trPr>
          <w:cantSplit w:val="0"/>
          <w:tblHeader w:val="0"/>
        </w:trPr>
        <w:tc>
          <w:tcPr>
            <w:vAlign w:val="center"/>
          </w:tcPr>
          <w:p w:rsidR="00000000" w:rsidDel="00000000" w:rsidP="00000000" w:rsidRDefault="00000000" w:rsidRPr="00000000" w14:paraId="00000029">
            <w:pPr>
              <w:jc w:val="center"/>
              <w:rPr>
                <w:b w:val="1"/>
                <w:bCs w:val="1"/>
              </w:rPr>
            </w:pPr>
            <w:r w:rsidDel="00000000" w:rsidR="00000000" w:rsidRPr="00000000">
              <w:rPr>
                <w:b w:val="1"/>
                <w:bCs w:val="1"/>
                <w:rtl w:val="0"/>
              </w:rPr>
              <w:t xml:space="preserve">Dado</w:t>
            </w:r>
          </w:p>
        </w:tc>
        <w:tc>
          <w:tcPr>
            <w:vAlign w:val="center"/>
          </w:tcPr>
          <w:p w:rsidR="00000000" w:rsidDel="00000000" w:rsidP="00000000" w:rsidRDefault="00000000" w:rsidRPr="00000000" w14:paraId="0000002A">
            <w:pPr>
              <w:jc w:val="center"/>
              <w:rPr>
                <w:b w:val="1"/>
                <w:bCs w:val="1"/>
              </w:rPr>
            </w:pPr>
            <w:r w:rsidDel="00000000" w:rsidR="00000000" w:rsidRPr="00000000">
              <w:rPr>
                <w:b w:val="1"/>
                <w:bCs w:val="1"/>
                <w:rtl w:val="0"/>
              </w:rPr>
              <w:t xml:space="preserve">Fonte</w:t>
            </w:r>
          </w:p>
        </w:tc>
        <w:tc>
          <w:tcPr>
            <w:vAlign w:val="center"/>
          </w:tcPr>
          <w:p w:rsidR="00000000" w:rsidDel="00000000" w:rsidP="00000000" w:rsidRDefault="00000000" w:rsidRPr="00000000" w14:paraId="0000002B">
            <w:pPr>
              <w:jc w:val="center"/>
              <w:rPr>
                <w:b w:val="1"/>
                <w:bCs w:val="1"/>
              </w:rPr>
            </w:pPr>
            <w:r w:rsidDel="00000000" w:rsidR="00000000" w:rsidRPr="00000000">
              <w:rPr>
                <w:b w:val="1"/>
                <w:bCs w:val="1"/>
                <w:rtl w:val="0"/>
              </w:rPr>
              <w:t xml:space="preserve">Escala temporal</w:t>
            </w:r>
          </w:p>
        </w:tc>
        <w:tc>
          <w:tcPr>
            <w:vAlign w:val="center"/>
          </w:tcPr>
          <w:p w:rsidR="00000000" w:rsidDel="00000000" w:rsidP="00000000" w:rsidRDefault="00000000" w:rsidRPr="00000000" w14:paraId="0000002C">
            <w:pPr>
              <w:jc w:val="center"/>
              <w:rPr>
                <w:b w:val="1"/>
                <w:bCs w:val="1"/>
              </w:rPr>
            </w:pPr>
            <w:r w:rsidDel="00000000" w:rsidR="00000000" w:rsidRPr="00000000">
              <w:rPr>
                <w:b w:val="1"/>
                <w:bCs w:val="1"/>
                <w:rtl w:val="0"/>
              </w:rPr>
              <w:t xml:space="preserve">Escala espacial</w:t>
            </w:r>
          </w:p>
        </w:tc>
        <w:tc>
          <w:tcPr>
            <w:vAlign w:val="center"/>
          </w:tcPr>
          <w:p w:rsidR="00000000" w:rsidDel="00000000" w:rsidP="00000000" w:rsidRDefault="00000000" w:rsidRPr="00000000" w14:paraId="0000002D">
            <w:pPr>
              <w:jc w:val="center"/>
              <w:rPr>
                <w:b w:val="1"/>
                <w:bCs w:val="1"/>
              </w:rPr>
            </w:pPr>
            <w:r w:rsidDel="00000000" w:rsidR="00000000" w:rsidRPr="00000000">
              <w:rPr>
                <w:b w:val="1"/>
                <w:bCs w:val="1"/>
                <w:rtl w:val="0"/>
              </w:rPr>
              <w:t xml:space="preserve">Limitações conhecidas</w:t>
            </w:r>
          </w:p>
        </w:tc>
      </w:tr>
      <w:tr>
        <w:trPr>
          <w:cantSplit w:val="0"/>
          <w:trHeight w:val="2619.78515625" w:hRule="atLeast"/>
          <w:tblHeader w:val="0"/>
        </w:trPr>
        <w:tc>
          <w:tcPr/>
          <w:p w:rsidR="00000000" w:rsidDel="00000000" w:rsidP="00000000" w:rsidRDefault="00000000" w:rsidRPr="00000000" w14:paraId="0000002E">
            <w:pPr>
              <w:jc w:val="center"/>
              <w:rPr>
                <w:b w:val="1"/>
                <w:bCs w:val="1"/>
              </w:rPr>
            </w:pPr>
            <w:r w:rsidDel="00000000" w:rsidR="00000000" w:rsidRPr="00000000">
              <w:rPr>
                <w:b w:val="1"/>
                <w:bCs w:val="1"/>
                <w:rtl w:val="0"/>
              </w:rPr>
              <w:t xml:space="preserve">Localização dos Data Centers</w:t>
            </w:r>
          </w:p>
        </w:tc>
        <w:tc>
          <w:tcPr/>
          <w:p w:rsidR="00000000" w:rsidDel="00000000" w:rsidP="00000000" w:rsidRDefault="00000000" w:rsidRPr="00000000" w14:paraId="0000002F">
            <w:pPr>
              <w:jc w:val="center"/>
              <w:rPr>
                <w:b w:val="1"/>
                <w:bCs w:val="1"/>
              </w:rPr>
            </w:pPr>
            <w:r w:rsidDel="00000000" w:rsidR="00000000" w:rsidRPr="00000000">
              <w:rPr>
                <w:rtl w:val="0"/>
              </w:rPr>
            </w:r>
          </w:p>
          <w:p w:rsidR="00000000" w:rsidDel="00000000" w:rsidP="00000000" w:rsidRDefault="00000000" w:rsidRPr="00000000" w14:paraId="00000030">
            <w:pPr>
              <w:jc w:val="center"/>
              <w:rPr>
                <w:b w:val="1"/>
                <w:bCs w:val="1"/>
              </w:rPr>
            </w:pPr>
            <w:r w:rsidDel="00000000" w:rsidR="00000000" w:rsidRPr="00000000">
              <w:rPr>
                <w:rtl w:val="0"/>
              </w:rPr>
            </w:r>
          </w:p>
          <w:p w:rsidR="00000000" w:rsidDel="00000000" w:rsidP="00000000" w:rsidRDefault="00000000" w:rsidRPr="00000000" w14:paraId="00000031">
            <w:pPr>
              <w:jc w:val="center"/>
              <w:rPr>
                <w:b w:val="1"/>
                <w:bCs w:val="1"/>
              </w:rPr>
            </w:pPr>
            <w:r w:rsidDel="00000000" w:rsidR="00000000" w:rsidRPr="00000000">
              <w:rPr>
                <w:rtl w:val="0"/>
              </w:rPr>
            </w:r>
          </w:p>
          <w:p w:rsidR="00000000" w:rsidDel="00000000" w:rsidP="00000000" w:rsidRDefault="00000000" w:rsidRPr="00000000" w14:paraId="00000032">
            <w:pPr>
              <w:jc w:val="center"/>
              <w:rPr>
                <w:b w:val="1"/>
                <w:bCs w:val="1"/>
              </w:rPr>
            </w:pPr>
            <w:r w:rsidDel="00000000" w:rsidR="00000000" w:rsidRPr="00000000">
              <w:rPr>
                <w:b w:val="1"/>
                <w:bCs w:val="1"/>
                <w:rtl w:val="0"/>
              </w:rPr>
              <w:t xml:space="preserve">Relatórios CGI.br / Idec</w:t>
            </w:r>
          </w:p>
        </w:tc>
        <w:tc>
          <w:tcPr/>
          <w:p w:rsidR="00000000" w:rsidDel="00000000" w:rsidP="00000000" w:rsidRDefault="00000000" w:rsidRPr="00000000" w14:paraId="00000033">
            <w:pPr>
              <w:jc w:val="center"/>
              <w:rPr>
                <w:b w:val="1"/>
                <w:bCs w:val="1"/>
              </w:rPr>
            </w:pPr>
            <w:r w:rsidDel="00000000" w:rsidR="00000000" w:rsidRPr="00000000">
              <w:rPr>
                <w:rtl w:val="0"/>
              </w:rPr>
            </w:r>
          </w:p>
          <w:p w:rsidR="00000000" w:rsidDel="00000000" w:rsidP="00000000" w:rsidRDefault="00000000" w:rsidRPr="00000000" w14:paraId="00000034">
            <w:pPr>
              <w:jc w:val="center"/>
              <w:rPr>
                <w:b w:val="1"/>
                <w:bCs w:val="1"/>
              </w:rPr>
            </w:pPr>
            <w:r w:rsidDel="00000000" w:rsidR="00000000" w:rsidRPr="00000000">
              <w:rPr>
                <w:rtl w:val="0"/>
              </w:rPr>
            </w:r>
          </w:p>
          <w:p w:rsidR="00000000" w:rsidDel="00000000" w:rsidP="00000000" w:rsidRDefault="00000000" w:rsidRPr="00000000" w14:paraId="00000035">
            <w:pPr>
              <w:jc w:val="center"/>
              <w:rPr>
                <w:b w:val="1"/>
                <w:bCs w:val="1"/>
              </w:rPr>
            </w:pPr>
            <w:r w:rsidDel="00000000" w:rsidR="00000000" w:rsidRPr="00000000">
              <w:rPr>
                <w:rtl w:val="0"/>
              </w:rPr>
            </w:r>
          </w:p>
          <w:p w:rsidR="00000000" w:rsidDel="00000000" w:rsidP="00000000" w:rsidRDefault="00000000" w:rsidRPr="00000000" w14:paraId="00000036">
            <w:pPr>
              <w:jc w:val="center"/>
              <w:rPr>
                <w:b w:val="1"/>
                <w:bCs w:val="1"/>
              </w:rPr>
            </w:pPr>
            <w:r w:rsidDel="00000000" w:rsidR="00000000" w:rsidRPr="00000000">
              <w:rPr>
                <w:b w:val="1"/>
                <w:bCs w:val="1"/>
                <w:rtl w:val="0"/>
              </w:rPr>
              <w:t xml:space="preserve">2020–2025</w:t>
            </w:r>
          </w:p>
        </w:tc>
        <w:tc>
          <w:tcPr/>
          <w:p w:rsidR="00000000" w:rsidDel="00000000" w:rsidP="00000000" w:rsidRDefault="00000000" w:rsidRPr="00000000" w14:paraId="00000037">
            <w:pPr>
              <w:jc w:val="center"/>
              <w:rPr>
                <w:b w:val="1"/>
                <w:bCs w:val="1"/>
              </w:rPr>
            </w:pPr>
            <w:r w:rsidDel="00000000" w:rsidR="00000000" w:rsidRPr="00000000">
              <w:rPr>
                <w:b w:val="1"/>
                <w:bCs w:val="1"/>
                <w:rtl w:val="0"/>
              </w:rPr>
              <w:t xml:space="preserve">Pontual (Coordenadas)</w:t>
            </w:r>
          </w:p>
        </w:tc>
        <w:tc>
          <w:tcPr/>
          <w:p w:rsidR="00000000" w:rsidDel="00000000" w:rsidP="00000000" w:rsidRDefault="00000000" w:rsidRPr="00000000" w14:paraId="00000038">
            <w:pPr>
              <w:jc w:val="center"/>
              <w:rPr>
                <w:b w:val="1"/>
                <w:bCs w:val="1"/>
              </w:rPr>
            </w:pPr>
            <w:r w:rsidDel="00000000" w:rsidR="00000000" w:rsidRPr="00000000">
              <w:rPr>
                <w:b w:val="1"/>
                <w:bCs w:val="1"/>
                <w:rtl w:val="0"/>
              </w:rPr>
              <w:t xml:space="preserve">Instalações privadas de uso exclusivo sem registro público frequentemente não são capturadas pelos levantamentos gerais.</w:t>
            </w:r>
          </w:p>
        </w:tc>
      </w:tr>
      <w:tr>
        <w:trPr>
          <w:cantSplit w:val="0"/>
          <w:trHeight w:val="2872.763671875" w:hRule="atLeast"/>
          <w:tblHeader w:val="0"/>
        </w:trPr>
        <w:tc>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Pressão e Demanda Hídrica</w:t>
            </w:r>
          </w:p>
        </w:tc>
        <w:tc>
          <w:tcPr/>
          <w:p w:rsidR="00000000" w:rsidDel="00000000" w:rsidP="00000000" w:rsidRDefault="00000000" w:rsidRPr="00000000" w14:paraId="0000003A">
            <w:pPr>
              <w:jc w:val="center"/>
              <w:rPr>
                <w:b w:val="1"/>
                <w:bCs w:val="1"/>
              </w:rPr>
            </w:pPr>
            <w:r w:rsidDel="00000000" w:rsidR="00000000" w:rsidRPr="00000000">
              <w:rPr>
                <w:b w:val="1"/>
                <w:bCs w:val="1"/>
                <w:rtl w:val="0"/>
              </w:rPr>
              <w:t xml:space="preserve">ANA / DAEE</w:t>
            </w:r>
          </w:p>
        </w:tc>
        <w:tc>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2015–2024</w:t>
            </w:r>
          </w:p>
        </w:tc>
        <w:tc>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Bacias Hidrográficas</w:t>
            </w:r>
          </w:p>
        </w:tc>
        <w:tc>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Relutância corporativa em divulgar os índices reais de WUE (</w:t>
            </w:r>
            <w:r w:rsidDel="00000000" w:rsidR="00000000" w:rsidRPr="00000000">
              <w:rPr>
                <w:b w:val="1"/>
                <w:bCs w:val="1"/>
                <w:i w:val="1"/>
                <w:iCs w:val="1"/>
                <w:rtl w:val="0"/>
              </w:rPr>
              <w:t xml:space="preserve">Water Usage Effectiveness</w:t>
            </w:r>
            <w:r w:rsidDel="00000000" w:rsidR="00000000" w:rsidRPr="00000000">
              <w:rPr>
                <w:b w:val="1"/>
                <w:bCs w:val="1"/>
                <w:rtl w:val="0"/>
              </w:rPr>
              <w:t xml:space="preserve">) e PUE (</w:t>
            </w:r>
            <w:r w:rsidDel="00000000" w:rsidR="00000000" w:rsidRPr="00000000">
              <w:rPr>
                <w:b w:val="1"/>
                <w:bCs w:val="1"/>
                <w:i w:val="1"/>
                <w:iCs w:val="1"/>
                <w:rtl w:val="0"/>
              </w:rPr>
              <w:t xml:space="preserve">Power Usage Effectiveness</w:t>
            </w:r>
            <w:r w:rsidDel="00000000" w:rsidR="00000000" w:rsidRPr="00000000">
              <w:rPr>
                <w:b w:val="1"/>
                <w:bCs w:val="1"/>
                <w:rtl w:val="0"/>
              </w:rPr>
              <w:t xml:space="preserve">) de cada planta.</w:t>
            </w:r>
          </w:p>
        </w:tc>
      </w:tr>
      <w:tr>
        <w:trPr>
          <w:cantSplit w:val="0"/>
          <w:trHeight w:val="1860.849609375" w:hRule="atLeast"/>
          <w:tblHeader w:val="0"/>
        </w:trPr>
        <w:tc>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Vulnerabilidade Social (IVS)</w:t>
            </w:r>
          </w:p>
        </w:tc>
        <w:tc>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IPEA / IBGE</w:t>
            </w:r>
          </w:p>
        </w:tc>
        <w:tc>
          <w:tcPr/>
          <w:p w:rsidR="00000000" w:rsidDel="00000000" w:rsidP="00000000" w:rsidRDefault="00000000" w:rsidRPr="00000000" w14:paraId="00000040">
            <w:pPr>
              <w:jc w:val="center"/>
              <w:rPr>
                <w:b w:val="1"/>
                <w:bCs w:val="1"/>
              </w:rPr>
            </w:pPr>
            <w:r w:rsidDel="00000000" w:rsidR="00000000" w:rsidRPr="00000000">
              <w:rPr>
                <w:b w:val="1"/>
                <w:bCs w:val="1"/>
                <w:rtl w:val="0"/>
              </w:rPr>
              <w:t xml:space="preserve">2010 (Projeções) / 2022</w:t>
            </w:r>
          </w:p>
        </w:tc>
        <w:tc>
          <w:tcPr/>
          <w:p w:rsidR="00000000" w:rsidDel="00000000" w:rsidP="00000000" w:rsidRDefault="00000000" w:rsidRPr="00000000" w14:paraId="00000041">
            <w:pPr>
              <w:jc w:val="center"/>
              <w:rPr>
                <w:b w:val="1"/>
                <w:bCs w:val="1"/>
              </w:rPr>
            </w:pPr>
            <w:r w:rsidDel="00000000" w:rsidR="00000000" w:rsidRPr="00000000">
              <w:rPr>
                <w:b w:val="1"/>
                <w:bCs w:val="1"/>
                <w:rtl w:val="0"/>
              </w:rPr>
              <w:t xml:space="preserve">Setor censitário</w:t>
            </w:r>
          </w:p>
        </w:tc>
        <w:tc>
          <w:tcPr/>
          <w:p w:rsidR="00000000" w:rsidDel="00000000" w:rsidP="00000000" w:rsidRDefault="00000000" w:rsidRPr="00000000" w14:paraId="00000042">
            <w:pPr>
              <w:jc w:val="center"/>
              <w:rPr>
                <w:b w:val="1"/>
                <w:bCs w:val="1"/>
              </w:rPr>
            </w:pPr>
            <w:r w:rsidDel="00000000" w:rsidR="00000000" w:rsidRPr="00000000">
              <w:rPr>
                <w:b w:val="1"/>
                <w:bCs w:val="1"/>
                <w:rtl w:val="0"/>
              </w:rPr>
              <w:t xml:space="preserve">Defasagem temporal de variáveis sociais atreladas a censos passados.</w:t>
            </w:r>
          </w:p>
        </w:tc>
      </w:tr>
    </w:tbl>
    <w:p w:rsidR="00000000" w:rsidDel="00000000" w:rsidP="00000000" w:rsidRDefault="00000000" w:rsidRPr="00000000" w14:paraId="00000043">
      <w:pPr>
        <w:spacing w:line="240" w:lineRule="auto"/>
        <w:jc w:val="both"/>
        <w:rPr>
          <w:b w:val="1"/>
          <w:bCs w:val="1"/>
        </w:rPr>
      </w:pPr>
      <w:r w:rsidDel="00000000" w:rsidR="00000000" w:rsidRPr="00000000">
        <w:rPr>
          <w:rtl w:val="0"/>
        </w:rPr>
      </w:r>
    </w:p>
    <w:p w:rsidR="00000000" w:rsidDel="00000000" w:rsidP="00000000" w:rsidRDefault="00000000" w:rsidRPr="00000000" w14:paraId="00000044">
      <w:pPr>
        <w:spacing w:line="240" w:lineRule="auto"/>
        <w:jc w:val="both"/>
        <w:rPr>
          <w:b w:val="1"/>
          <w:bCs w:val="1"/>
        </w:rPr>
      </w:pPr>
      <w:r w:rsidDel="00000000" w:rsidR="00000000" w:rsidRPr="00000000">
        <w:rPr>
          <w:rtl w:val="0"/>
        </w:rPr>
      </w:r>
    </w:p>
    <w:p w:rsidR="00000000" w:rsidDel="00000000" w:rsidP="00000000" w:rsidRDefault="00000000" w:rsidRPr="00000000" w14:paraId="00000045">
      <w:pPr>
        <w:spacing w:line="240" w:lineRule="auto"/>
        <w:jc w:val="both"/>
        <w:rPr>
          <w:b w:val="1"/>
          <w:bCs w:val="1"/>
        </w:rPr>
      </w:pPr>
      <w:r w:rsidDel="00000000" w:rsidR="00000000" w:rsidRPr="00000000">
        <w:rPr>
          <w:b w:val="1"/>
          <w:bCs w:val="1"/>
          <w:rtl w:val="0"/>
        </w:rPr>
        <w:t xml:space="preserve">7. Estratégia analítica inicial</w:t>
      </w:r>
    </w:p>
    <w:p w:rsidR="00000000" w:rsidDel="00000000" w:rsidP="00000000" w:rsidRDefault="00000000" w:rsidRPr="00000000" w14:paraId="00000046">
      <w:pPr>
        <w:spacing w:line="240" w:lineRule="auto"/>
        <w:jc w:val="both"/>
        <w:rPr>
          <w:i w:val="1"/>
          <w:iCs w:val="1"/>
        </w:rPr>
      </w:pPr>
      <w:r w:rsidDel="00000000" w:rsidR="00000000" w:rsidRPr="00000000">
        <w:rPr>
          <w:rtl w:val="0"/>
        </w:rPr>
      </w:r>
    </w:p>
    <w:p w:rsidR="00000000" w:rsidDel="00000000" w:rsidP="00000000" w:rsidRDefault="00000000" w:rsidRPr="00000000" w14:paraId="00000047">
      <w:pPr>
        <w:spacing w:line="240" w:lineRule="auto"/>
        <w:ind w:firstLine="720"/>
        <w:jc w:val="both"/>
        <w:rPr>
          <w:i w:val="1"/>
          <w:iCs w:val="1"/>
        </w:rPr>
      </w:pPr>
      <w:r w:rsidDel="00000000" w:rsidR="00000000" w:rsidRPr="00000000">
        <w:rPr>
          <w:i w:val="1"/>
          <w:iCs w:val="1"/>
          <w:rtl w:val="0"/>
        </w:rPr>
        <w:t xml:space="preserve">A análise será conduzida por meio da sobreposição de camadas geoespaciais e análise de proximidade em um software SIG (Sistema de Informação Geográfica). Primeiro, realizaremos o georreferenciamento de todos os data centers catalogados pelo CGI.br e relatórios do setor em Barueri e na RMC. Em seguida, essas coordenadas serão cruzadas com a malha das bacias hidrográficas locais para levantar o balanço hídrico oficial (demanda x disponibilidade hídrica) fornecido pela ANA/DAEE. Posteriormente, os setores censitários serão classificados segundo o IVS e sobrepostos a esse mapa hídrico/tecnológico. Essa estratégia permitirá identificar a correlação espacial entre os grandes nós de infraestrutura tecnológica, as áreas de balanço hídrico crítico e os bairros com maior vulnerabilidade socioambiental.</w:t>
      </w:r>
      <w:r w:rsidDel="00000000" w:rsidR="00000000" w:rsidRPr="00000000">
        <w:rPr>
          <w:rtl w:val="0"/>
        </w:rPr>
      </w:r>
    </w:p>
    <w:p w:rsidR="00000000" w:rsidDel="00000000" w:rsidP="00000000" w:rsidRDefault="00000000" w:rsidRPr="00000000" w14:paraId="00000048">
      <w:pPr>
        <w:spacing w:line="240" w:lineRule="auto"/>
        <w:jc w:val="both"/>
        <w:rPr>
          <w:i w:val="1"/>
          <w:iCs w:val="1"/>
        </w:rPr>
      </w:pPr>
      <w:r w:rsidDel="00000000" w:rsidR="00000000" w:rsidRPr="00000000">
        <w:rPr>
          <w:rtl w:val="0"/>
        </w:rPr>
      </w:r>
    </w:p>
    <w:p w:rsidR="00000000" w:rsidDel="00000000" w:rsidP="00000000" w:rsidRDefault="00000000" w:rsidRPr="00000000" w14:paraId="00000049">
      <w:pPr>
        <w:spacing w:line="240" w:lineRule="auto"/>
        <w:jc w:val="both"/>
        <w:rPr>
          <w:i w:val="1"/>
          <w:iCs w:val="1"/>
        </w:rPr>
      </w:pPr>
      <w:r w:rsidDel="00000000" w:rsidR="00000000" w:rsidRPr="00000000">
        <w:rPr>
          <w:rtl w:val="0"/>
        </w:rPr>
      </w:r>
    </w:p>
    <w:p w:rsidR="00000000" w:rsidDel="00000000" w:rsidP="00000000" w:rsidRDefault="00000000" w:rsidRPr="00000000" w14:paraId="0000004A">
      <w:pPr>
        <w:spacing w:line="240" w:lineRule="auto"/>
        <w:jc w:val="both"/>
        <w:rPr>
          <w:b w:val="1"/>
          <w:bCs w:val="1"/>
        </w:rPr>
      </w:pPr>
      <w:r w:rsidDel="00000000" w:rsidR="00000000" w:rsidRPr="00000000">
        <w:rPr>
          <w:b w:val="1"/>
          <w:bCs w:val="1"/>
          <w:rtl w:val="0"/>
        </w:rPr>
        <w:t xml:space="preserve">8. Possíveis resultados esperados (hipótese inicial)</w:t>
      </w:r>
    </w:p>
    <w:p w:rsidR="00000000" w:rsidDel="00000000" w:rsidP="00000000" w:rsidRDefault="00000000" w:rsidRPr="00000000" w14:paraId="0000004B">
      <w:pPr>
        <w:spacing w:line="240" w:lineRule="auto"/>
        <w:jc w:val="both"/>
        <w:rPr>
          <w:b w:val="1"/>
          <w:bCs w:val="1"/>
        </w:rPr>
      </w:pPr>
      <w:r w:rsidDel="00000000" w:rsidR="00000000" w:rsidRPr="00000000">
        <w:rPr>
          <w:rtl w:val="0"/>
        </w:rPr>
      </w:r>
    </w:p>
    <w:p w:rsidR="00000000" w:rsidDel="00000000" w:rsidP="00000000" w:rsidRDefault="00000000" w:rsidRPr="00000000" w14:paraId="0000004C">
      <w:pPr>
        <w:spacing w:line="240" w:lineRule="auto"/>
        <w:ind w:firstLine="720"/>
        <w:jc w:val="both"/>
        <w:rPr>
          <w:i w:val="1"/>
          <w:iCs w:val="1"/>
        </w:rPr>
      </w:pPr>
      <w:r w:rsidDel="00000000" w:rsidR="00000000" w:rsidRPr="00000000">
        <w:rPr>
          <w:i w:val="1"/>
          <w:iCs w:val="1"/>
          <w:rtl w:val="0"/>
        </w:rPr>
        <w:t xml:space="preserve">Espera-se demonstrar que os municípios de Barueri e Campinas possuem uma concentração desproporcional de data centers localizados em sub-bacias que já operam próximo ao limite de sua capacidade de renovação hídrica. A hipótese central é que bairros com elevados índices de vulnerabilidade social, situados nas mesmas bacias de captação, sejam estatisticamente mais expostos a interrupções no fornecimento de água durante períodos de estiagem, evidenciando que a infraestrutura "invisível" da internet possui uma pegada material com impactos locais concretos.</w:t>
      </w:r>
    </w:p>
    <w:p w:rsidR="00000000" w:rsidDel="00000000" w:rsidP="00000000" w:rsidRDefault="00000000" w:rsidRPr="00000000" w14:paraId="0000004D">
      <w:pPr>
        <w:spacing w:line="240" w:lineRule="auto"/>
        <w:jc w:val="both"/>
        <w:rPr>
          <w:i w:val="1"/>
          <w:iCs w:val="1"/>
        </w:rPr>
      </w:pPr>
      <w:r w:rsidDel="00000000" w:rsidR="00000000" w:rsidRPr="00000000">
        <w:rPr>
          <w:rtl w:val="0"/>
        </w:rPr>
      </w:r>
    </w:p>
    <w:p w:rsidR="00000000" w:rsidDel="00000000" w:rsidP="00000000" w:rsidRDefault="00000000" w:rsidRPr="00000000" w14:paraId="0000004E">
      <w:pPr>
        <w:spacing w:line="240" w:lineRule="auto"/>
        <w:jc w:val="both"/>
        <w:rPr>
          <w:i w:val="1"/>
          <w:iCs w:val="1"/>
        </w:rPr>
      </w:pPr>
      <w:r w:rsidDel="00000000" w:rsidR="00000000" w:rsidRPr="00000000">
        <w:rPr>
          <w:rtl w:val="0"/>
        </w:rPr>
      </w:r>
    </w:p>
    <w:p w:rsidR="00000000" w:rsidDel="00000000" w:rsidP="00000000" w:rsidRDefault="00000000" w:rsidRPr="00000000" w14:paraId="0000004F">
      <w:pPr>
        <w:spacing w:line="240" w:lineRule="auto"/>
        <w:jc w:val="both"/>
        <w:rPr>
          <w:b w:val="1"/>
          <w:bCs w:val="1"/>
        </w:rPr>
      </w:pPr>
      <w:r w:rsidDel="00000000" w:rsidR="00000000" w:rsidRPr="00000000">
        <w:rPr>
          <w:b w:val="1"/>
          <w:bCs w:val="1"/>
          <w:rtl w:val="0"/>
        </w:rPr>
        <w:t xml:space="preserve">9. Limitações antecipadas</w:t>
      </w:r>
    </w:p>
    <w:p w:rsidR="00000000" w:rsidDel="00000000" w:rsidP="00000000" w:rsidRDefault="00000000" w:rsidRPr="00000000" w14:paraId="00000050">
      <w:pPr>
        <w:spacing w:line="240" w:lineRule="auto"/>
        <w:jc w:val="both"/>
        <w:rPr>
          <w:b w:val="1"/>
          <w:bCs w:val="1"/>
        </w:rPr>
      </w:pPr>
      <w:r w:rsidDel="00000000" w:rsidR="00000000" w:rsidRPr="00000000">
        <w:rPr>
          <w:rtl w:val="0"/>
        </w:rPr>
      </w:r>
    </w:p>
    <w:p w:rsidR="00000000" w:rsidDel="00000000" w:rsidP="00000000" w:rsidRDefault="00000000" w:rsidRPr="00000000" w14:paraId="00000051">
      <w:pPr>
        <w:numPr>
          <w:ilvl w:val="0"/>
          <w:numId w:val="3"/>
        </w:numPr>
        <w:spacing w:line="240" w:lineRule="auto"/>
        <w:ind w:left="720" w:hanging="360"/>
        <w:jc w:val="both"/>
        <w:rPr>
          <w:i w:val="1"/>
          <w:iCs w:val="1"/>
          <w:sz w:val="20"/>
          <w:szCs w:val="20"/>
        </w:rPr>
      </w:pPr>
      <w:r w:rsidDel="00000000" w:rsidR="00000000" w:rsidRPr="00000000">
        <w:rPr>
          <w:i w:val="1"/>
          <w:iCs w:val="1"/>
          <w:rtl w:val="0"/>
        </w:rPr>
        <w:t xml:space="preserve">Falta de transparência dos dados corporativos: Os números de consumo de energia e água muitas vezes não são abertos em nível de planta pelas empresas, dificultando a medição exata do impacto individual de cada data center. Não há regulação específica que exija transparência detalhada das implicações ambientais.</w:t>
      </w:r>
    </w:p>
    <w:p w:rsidR="00000000" w:rsidDel="00000000" w:rsidP="00000000" w:rsidRDefault="00000000" w:rsidRPr="00000000" w14:paraId="00000052">
      <w:pPr>
        <w:spacing w:line="240" w:lineRule="auto"/>
        <w:ind w:left="720" w:firstLine="0"/>
        <w:jc w:val="both"/>
        <w:rPr>
          <w:i w:val="1"/>
          <w:iCs w:val="1"/>
        </w:rPr>
      </w:pPr>
      <w:r w:rsidDel="00000000" w:rsidR="00000000" w:rsidRPr="00000000">
        <w:rPr>
          <w:rtl w:val="0"/>
        </w:rPr>
      </w:r>
    </w:p>
    <w:p w:rsidR="00000000" w:rsidDel="00000000" w:rsidP="00000000" w:rsidRDefault="00000000" w:rsidRPr="00000000" w14:paraId="00000053">
      <w:pPr>
        <w:numPr>
          <w:ilvl w:val="0"/>
          <w:numId w:val="3"/>
        </w:numPr>
        <w:spacing w:line="240" w:lineRule="auto"/>
        <w:ind w:left="720" w:hanging="360"/>
        <w:jc w:val="both"/>
        <w:rPr>
          <w:i w:val="1"/>
          <w:iCs w:val="1"/>
          <w:sz w:val="20"/>
          <w:szCs w:val="20"/>
        </w:rPr>
      </w:pPr>
      <w:r w:rsidDel="00000000" w:rsidR="00000000" w:rsidRPr="00000000">
        <w:rPr>
          <w:i w:val="1"/>
          <w:iCs w:val="1"/>
          <w:rtl w:val="0"/>
        </w:rPr>
        <w:t xml:space="preserve">Transição tecnológica de resfriamento: As empresas alegam estarem migrando para sistemas de condensação a ar, sem água, o que pode tornar a quantificação de impacto hídrico obsoleta para plantas muito recentes, exigindo uma diferenciação na análise entre data centers legados de água e novos projetos.</w:t>
      </w:r>
      <w:r w:rsidDel="00000000" w:rsidR="00000000" w:rsidRPr="00000000">
        <w:rPr>
          <w:rtl w:val="0"/>
        </w:rPr>
      </w:r>
    </w:p>
    <w:p w:rsidR="00000000" w:rsidDel="00000000" w:rsidP="00000000" w:rsidRDefault="00000000" w:rsidRPr="00000000" w14:paraId="00000054">
      <w:pPr>
        <w:spacing w:line="240" w:lineRule="auto"/>
        <w:jc w:val="both"/>
        <w:rPr/>
      </w:pPr>
      <w:r w:rsidDel="00000000" w:rsidR="00000000" w:rsidRPr="00000000">
        <w:rPr>
          <w:rtl w:val="0"/>
        </w:rPr>
      </w:r>
    </w:p>
    <w:p w:rsidR="00000000" w:rsidDel="00000000" w:rsidP="00000000" w:rsidRDefault="00000000" w:rsidRPr="00000000" w14:paraId="00000055">
      <w:pPr>
        <w:spacing w:line="240" w:lineRule="auto"/>
        <w:jc w:val="both"/>
        <w:rPr/>
      </w:pPr>
      <w:r w:rsidDel="00000000" w:rsidR="00000000" w:rsidRPr="00000000">
        <w:rPr>
          <w:rtl w:val="0"/>
        </w:rPr>
      </w:r>
    </w:p>
    <w:p w:rsidR="00000000" w:rsidDel="00000000" w:rsidP="00000000" w:rsidRDefault="00000000" w:rsidRPr="00000000" w14:paraId="00000056">
      <w:pPr>
        <w:spacing w:line="240" w:lineRule="auto"/>
        <w:jc w:val="both"/>
        <w:rPr>
          <w:b w:val="1"/>
          <w:bCs w:val="1"/>
        </w:rPr>
      </w:pPr>
      <w:r w:rsidDel="00000000" w:rsidR="00000000" w:rsidRPr="00000000">
        <w:rPr>
          <w:b w:val="1"/>
          <w:bCs w:val="1"/>
          <w:rtl w:val="0"/>
        </w:rPr>
        <w:t xml:space="preserve">10. Reflexão </w:t>
      </w:r>
    </w:p>
    <w:p w:rsidR="00000000" w:rsidDel="00000000" w:rsidP="00000000" w:rsidRDefault="00000000" w:rsidRPr="00000000" w14:paraId="00000057">
      <w:pPr>
        <w:spacing w:line="240" w:lineRule="auto"/>
        <w:jc w:val="both"/>
        <w:rPr>
          <w:b w:val="1"/>
          <w:bCs w:val="1"/>
        </w:rPr>
      </w:pPr>
      <w:r w:rsidDel="00000000" w:rsidR="00000000" w:rsidRPr="00000000">
        <w:rPr>
          <w:rtl w:val="0"/>
        </w:rPr>
      </w:r>
    </w:p>
    <w:p w:rsidR="00000000" w:rsidDel="00000000" w:rsidP="00000000" w:rsidRDefault="00000000" w:rsidRPr="00000000" w14:paraId="00000058">
      <w:pPr>
        <w:numPr>
          <w:ilvl w:val="0"/>
          <w:numId w:val="5"/>
        </w:numPr>
        <w:spacing w:line="240" w:lineRule="auto"/>
        <w:ind w:left="720" w:hanging="360"/>
        <w:jc w:val="both"/>
        <w:rPr>
          <w:i w:val="1"/>
          <w:iCs w:val="1"/>
          <w:sz w:val="20"/>
          <w:szCs w:val="20"/>
        </w:rPr>
      </w:pPr>
      <w:r w:rsidDel="00000000" w:rsidR="00000000" w:rsidRPr="00000000">
        <w:rPr>
          <w:b w:val="1"/>
          <w:bCs w:val="1"/>
          <w:i w:val="1"/>
          <w:iCs w:val="1"/>
          <w:rtl w:val="0"/>
        </w:rPr>
        <w:t xml:space="preserve">Por que esse problema exige análise espacial?</w:t>
      </w:r>
      <w:r w:rsidDel="00000000" w:rsidR="00000000" w:rsidRPr="00000000">
        <w:rPr>
          <w:i w:val="1"/>
          <w:iCs w:val="1"/>
          <w:rtl w:val="0"/>
        </w:rPr>
        <w:t xml:space="preserve"> O estresse hídrico e a ocupação urbana são fenômenos físicos estritamente enraizados no território. Analisar as coordenadas das bacias hidrográficas e dos data centers é a única forma de entender o conflito pela posse e uso da água na geografia local de Barueri e Campinas.</w:t>
        <w:br w:type="textWrapping"/>
      </w:r>
    </w:p>
    <w:p w:rsidR="00000000" w:rsidDel="00000000" w:rsidP="00000000" w:rsidRDefault="00000000" w:rsidRPr="00000000" w14:paraId="00000059">
      <w:pPr>
        <w:numPr>
          <w:ilvl w:val="0"/>
          <w:numId w:val="5"/>
        </w:numPr>
        <w:spacing w:line="240" w:lineRule="auto"/>
        <w:ind w:left="720" w:hanging="360"/>
        <w:jc w:val="both"/>
        <w:rPr>
          <w:i w:val="1"/>
          <w:iCs w:val="1"/>
          <w:sz w:val="20"/>
          <w:szCs w:val="20"/>
        </w:rPr>
      </w:pPr>
      <w:r w:rsidDel="00000000" w:rsidR="00000000" w:rsidRPr="00000000">
        <w:rPr>
          <w:b w:val="1"/>
          <w:bCs w:val="1"/>
          <w:i w:val="1"/>
          <w:iCs w:val="1"/>
          <w:rtl w:val="0"/>
        </w:rPr>
        <w:t xml:space="preserve">O que não seria possível perceber apenas com dados tabulares?</w:t>
      </w:r>
      <w:r w:rsidDel="00000000" w:rsidR="00000000" w:rsidRPr="00000000">
        <w:rPr>
          <w:i w:val="1"/>
          <w:iCs w:val="1"/>
          <w:rtl w:val="0"/>
        </w:rPr>
        <w:t xml:space="preserve"> Um dado agregado nacional indica que data centers utilizam uma fração ínfima da água consumida no Brasil. No entanto, tabelas gerais camuflam que essa captação não ocorre de forma diluída no país inteiro, mas está densamente concentrada em poucos municípios. Apenas a análise espacial revela o impacto da escala local e a vizinhança direta entre os racks de servidores e as comunidades vulneráveis.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atheusgspadar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