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Georgia" w:hAnsi="Georgia"/>
          <w:b/>
          <w:sz w:val="40"/>
        </w:rPr>
        <w:t>Theologoumena Pantodapa</w:t>
      </w:r>
    </w:p>
    <w:p>
      <w:pPr>
        <w:spacing w:after="40"/>
        <w:jc w:val="center"/>
      </w:pPr>
      <w:r>
        <w:rPr>
          <w:i/>
          <w:color w:val="333333"/>
          <w:sz w:val="24"/>
        </w:rPr>
        <w:t>Book I — Chapter IV: Natural Theology, or the Theology of the First Man (printed pp. 39–44)</w:t>
      </w:r>
    </w:p>
    <w:p>
      <w:pPr>
        <w:spacing w:after="40"/>
        <w:jc w:val="center"/>
      </w:pPr>
      <w:r>
        <w:rPr>
          <w:i/>
          <w:color w:val="333333"/>
          <w:sz w:val="24"/>
        </w:rPr>
        <w:t>Revised from the authoritative Latin text</w:t>
      </w:r>
    </w:p>
    <w:p>
      <w:pPr>
        <w:pStyle w:val="Heading1"/>
        <w:spacing w:before="280"/>
      </w:pPr>
      <w:r>
        <w:rPr>
          <w:rFonts w:ascii="Georgia" w:hAnsi="Georgia"/>
          <w:color w:val="000000"/>
        </w:rPr>
        <w:t>Translator's Note</w:t>
      </w:r>
    </w:p>
    <w:p>
      <w:pPr>
        <w:spacing w:after="160"/>
      </w:pPr>
      <w:r>
        <w:rPr>
          <w:i/>
          <w:color w:val="444444"/>
          <w:sz w:val="21"/>
        </w:rPr>
        <w:t>Revised from the full clean Latin of Goold's 1862 edition. Printed page numbers are kept as [ p. 40 ]. The Greek tags are now exact (logos endiathetos / prophorikos, emphytos, aphanismos, etc.), and the doxologies of Rev. 4:11 and 5:13, which Owen quotes in Greek, are noted as such. This file opens with the lines at the top of p. 39 that finish Chapter III, then gives Chapter IV. Translator's notes are in square brackets; everything else is Owen.</w:t>
      </w:r>
    </w:p>
    <w:p>
      <w:pPr>
        <w:pStyle w:val="Heading1"/>
        <w:spacing w:before="280"/>
      </w:pPr>
      <w:r>
        <w:rPr>
          <w:rFonts w:ascii="Georgia" w:hAnsi="Georgia"/>
          <w:color w:val="000000"/>
        </w:rPr>
        <w:t>Chapter III (concluded)</w:t>
      </w:r>
    </w:p>
    <w:p>
      <w:pPr>
        <w:pStyle w:val="Heading2"/>
        <w:spacing w:before="200" w:after="80"/>
      </w:pPr>
      <w:r>
        <w:rPr>
          <w:rFonts w:ascii="Georgia" w:hAnsi="Georgia"/>
          <w:color w:val="555555"/>
        </w:rPr>
        <w:t>[ p. 39 ]</w:t>
      </w:r>
    </w:p>
    <w:p>
      <w:r>
        <w:t>... of these [the "possessors," who, having run the course of faith and obedience toward the will of God, have mercifully obtained their end and rest in the enjoyment of God], the theology — to dispatch it in a word — is that light of glory by which, beholding divine things "face to face" [Greek: prosōpon pros prosōpon; 1 Cor. 13:12] and God himself "as he is" [Greek: kathōs esti; 1 John 3:2], suffused with ineffable joy, they are eternally free for [given over to] the praises of God and of the Lamb. And these things had necessarily to be premised, that we might arrive where we are tending.</w:t>
      </w:r>
    </w:p>
    <w:p>
      <w:r>
        <w:t>VII. According to the various state of those who are called "wayfarers," their theology also is various; and here it is in general twofold: namely, [the theology] of integral nature, or of creation; and of fallen nature, or of sin. But other considerations and distributions of men fallen into sin must be applied below. Of the first man we must treat in the first place.</w:t>
      </w:r>
    </w:p>
    <w:p>
      <w:pPr>
        <w:pStyle w:val="Heading1"/>
        <w:spacing w:before="280"/>
      </w:pPr>
      <w:r>
        <w:rPr>
          <w:rFonts w:ascii="Georgia" w:hAnsi="Georgia"/>
          <w:color w:val="000000"/>
        </w:rPr>
        <w:t>Part One: On Natural Theology, or the Theology of the First Man.</w:t>
      </w:r>
    </w:p>
    <w:p>
      <w:pPr>
        <w:pStyle w:val="Heading1"/>
        <w:spacing w:before="280"/>
      </w:pPr>
      <w:r>
        <w:rPr>
          <w:rFonts w:ascii="Georgia" w:hAnsi="Georgia"/>
          <w:color w:val="000000"/>
        </w:rPr>
        <w:t>Chapter IV</w:t>
      </w:r>
    </w:p>
    <w:p>
      <w:pPr>
        <w:spacing w:after="160"/>
      </w:pPr>
      <w:r>
        <w:rPr>
          <w:i/>
          <w:color w:val="444444"/>
          <w:sz w:val="21"/>
        </w:rPr>
        <w:t>Argument: The theology of the first man, here [treated] — Its description — In what sense it is natural — The degrees, force, and efficacy of the connate light — The over-curiosity [Greek: periergia] of the scholastics, the error of the Socinians and others — The origin and necessity of natural theology — The obedience of the first man — Exposition of the promised reward, of sin, and of punishment — The corruption of original theology — The manner of the corruption — The first covenant abolished, and with it the theology resting on it.</w:t>
      </w:r>
    </w:p>
    <w:p>
      <w:r>
        <w:t>I. The theology of all men regards either the "inward word" [Greek: logos endiathetos], and is called natural (in respect of its greatest part, since it was never alone), or the "uttered word" [Greek: prophorikos], which was brought in to supply the place of the obliteration of that "inward" [Greek: endiathetou] word through sin, and is called supernatural, or [the theology] of revelation. Of the first we must treat first. It can, and ought to, be considered as pure, as corrupt, and as apostate.</w:t>
      </w:r>
    </w:p>
    <w:p>
      <w:r>
        <w:t>II. The state of integral nature, then — of men placed merely under the law of creation — first presents itself to us. In that state theology was "inward and natural" [Greek: endiathetos et naturalis]; yet not altogether "innate" [Greek: emphytos]. For from the beginning it was augmented by revelation, and was moreover to be augmented. In that state it is called pure. And it was a salutary light, consisting in the knowledge of God as Creator, Lawgiver, Ruler, and Rewarder. We call it "light," since that befits all theology by the usage of Scripture. This light was implanted in man by God in the very creation; and, augmented at once by the externally made revelation of the divine will in the sacramental precept, it was to be increased day by day from the consideration of the works of God. And this [theology] was able to make him wise in rightly rendering obedience to God according to the covenant of works, unto his own felicity and unto the glory of the divine power, wisdom, goodness, grace, and justice. This was the theology of the first man.</w:t>
      </w:r>
    </w:p>
    <w:p>
      <w:r>
        <w:t>III. This light (or spiritual wisdom) God implanted in the mind of man in his very creation. It was congruous to the condition in which, and the end for which, he was made — nay, altogether necessary,</w:t>
      </w:r>
    </w:p>
    <w:p>
      <w:pPr>
        <w:pStyle w:val="Heading2"/>
        <w:spacing w:before="200" w:after="80"/>
      </w:pPr>
      <w:r>
        <w:rPr>
          <w:rFonts w:ascii="Georgia" w:hAnsi="Georgia"/>
          <w:color w:val="555555"/>
        </w:rPr>
        <w:t>[ p. 40 ]</w:t>
      </w:r>
    </w:p>
    <w:p>
      <w:r>
        <w:t>Eccles. 7:29. Although, therefore, by its own nature, and as concerns its use and end, it was plainly supernatural (for that man should obey God according to the covenant promising an eternal reward was of God's most free constitution), yet, because it was "inborn and implanted" [Greek: endiatheton kai emphyton], we say that it was natural to him. That is properly called "natural" which necessarily accompanies nature itself, or takes its origin from the principles of nature. In that sense it is plain that this light was not natural to man. For it does not necessarily follow human nature, so as to be inseparable from it; nor can it be drawn out of the natural faculties of the soul by their own proper and native power. But since it pertained to the rectitude of nature in respect of its original state, and was implanted in the very creation in man placed under law, with respect had to his ultimate end, it cannot be denied to have been natural. But about these matters, against the papists, it has been disputed elsewhere more than enough.</w:t>
      </w:r>
    </w:p>
    <w:p>
      <w:r>
        <w:t>IV. About this light, or knowledge, of man in the state of incorrupt nature — as to its degrees and efficacy — there is some battle of opinions. The scholastics extol it magnificently enough, being here (as everywhere) full of empty speculations and of audacity in curious determinations. The Socinians feign the first man to have been a blockhead and a stump, scarcely yet master of his reason; as though ignorant of God, of himself, of his wife, and of the other creatures, they serve him up, as it were, to be derided. They suppose that one single precept was set him by God, about not eating the fruit of the tree of the knowledge of good and evil. Whether he had a mind, or that conscience, or acknowledged any dependence on God, they know not — or at least feign not to know; for the fiction of "ignorance" is very often the color [pretext] for the most insolent boasting of knowledge. Thus it has seemed good to them to give patronage to the foulest errors which they cherish about the fall of the first man and the state of sin: "Adam, like an infant or a boy, did not know that he was naked" (Smalcius, On the Truth of the Deity of the Son, ch. 7, p. 2) — as though he were really blind before he ate of the tree of the knowledge of good and evil; and, "Of his own wife he knew nothing but what was obvious to the senses," as the very leader of the flock himself speaks (On the State of the First Man, ch. 4, p. 119); "Nor," he says, "did he have a clear view of the power of the tree of the knowledge of good and evil" (p. 147) — as though the whole effect of the first sin took its origin from the power of that tree; and again, "though he was mortal, yet he did not know that he was mortal" (ch. 4, p. 118): namely, a lie must be covered with lies, lest it leak through. That they may prove Adam to have lost almost nothing by sin, they affirm that he never had anything; since he could not lose what he never had. A lid worthy of the dish! We, with an even balance if it can be done, will weigh strictly the theology of the first man, inclining neither to the over-curiosity [Greek: periergian] of those [scholastics] in asserting, nor to the audacity of these [Socinians] in denying.</w:t>
      </w:r>
    </w:p>
    <w:p>
      <w:r>
        <w:t>V. That God, by the right of creation, is the supreme Lord of all things, is acknowledged by all creatures. Hence the existence of all is necessarily</w:t>
      </w:r>
    </w:p>
    <w:p>
      <w:pPr>
        <w:pStyle w:val="Heading2"/>
        <w:spacing w:before="200" w:after="80"/>
      </w:pPr>
      <w:r>
        <w:rPr>
          <w:rFonts w:ascii="Georgia" w:hAnsi="Georgia"/>
          <w:color w:val="555555"/>
        </w:rPr>
        <w:t>[ p. 41 ]</w:t>
      </w:r>
    </w:p>
    <w:p>
      <w:r>
        <w:t>accompanied by a dependence on God; and that dependence is accommodated to the principles of nature which he has communicated to each. All creatures, therefore, such as they are, and according to the capacity and disposition with which they are furnished, celebrate the Creator and serve him: Ps. 145:10, "All thy works shall praise thee, O Lord"; whence the Psalmist many times, "by personification" [Greek: kata prosōpopoiian], exhorts each and all of them to render that duty rightly. This eternal and invariable ground of divine worship the holy choir of the church, whether militant or crowned, establishes by unanimous consent: Rev. 4:11 [quoted by Owen in Greek], "Thou art worthy, O Lord, to receive glory and honor and power, for thou hast created all things, and for thy pleasure they are and were created"; to which the catholic [universal] company of all creatures responds (ch. 5:13, likewise in Greek), "And every creature which is in heaven, and on the earth, and under the earth, and such as are in the sea, and all that are in them, heard I saying, Blessing, and honor, and glory, and power, be unto him that sitteth upon the throne, and unto the Lamb, for ever and ever." For since God has made all things for himself — that is, for his glory (Prov. 16:4) — it was right that all those things should render him glory and honor. And just as it belongs to that supreme right of God, and his dominion over all things, to assign to each its proper and ultimate end, so it pertains to that dependence that there be a law and rule for operations tending toward that end. All creatures enjoy a fixed end and a law of operation, because they are creatures. That law, therefore, was connatural to all. But the rational creature, since it bears a twofold respect — namely, as it is a creature, and as, being capable of reason, it is consecrated to eternity — obtains from God a twofold dependence: one common, or "natural," of which we have spoken; another proper, or "moral." This is the obedience due to God for the state of a creature. To exact this obedience from creatures, nothing more is required than that God be set before them as supreme and best. And accordingly he exacts fear and worship, since he is "Adon" [Hebrew: Lord], the Lord of all: Mal. 1:6, "If I be a Lord, where is my fear?" That this should not be known from the very creation was impossible. For rightly rendering that obedience, that connate law must have sufficed. So at last both the ultimate end, and the creature's dependence on God, are established. But about that innate law two things may be considered: the law itself, namely the norm of the required obedience, and the knowledge of the law. That this best and greatest Benefactor, supreme Ruler, and Rewarder is to be loved, worshiped, and feared — as the moral order of this dependence, which (since God the Creator is supremely just and holy) embraces all justice and holiness, and is to be continued until his ultimate end is reached — this is the sum of this law. And this law is that "inward word, self-authenticating" [Greek: logos endiathetos, axiopiston] and utterly infallible, which was, as it were, the doctrine in the theology of the first man. But the knowledge of this law did not really differ from the law itself. And by a salutary light of that kind, by whose force and guidance man could rightly</w:t>
      </w:r>
    </w:p>
    <w:p>
      <w:pPr>
        <w:pStyle w:val="Heading2"/>
        <w:spacing w:before="200" w:after="80"/>
      </w:pPr>
      <w:r>
        <w:rPr>
          <w:rFonts w:ascii="Georgia" w:hAnsi="Georgia"/>
          <w:color w:val="555555"/>
        </w:rPr>
        <w:t>[ p. 42 ]</w:t>
      </w:r>
    </w:p>
    <w:p>
      <w:r>
        <w:t>render the obedience due to God according to the law, so as to attain his own proper end — by such a light, it appears, [his theology] consisted. And this was the theology of the first man. Constituted in a state of moral dependence on God, and submitted to the command of God, and thereby capable of eternal blessedness in the enjoyment of the Creator, he had a connate and "implanted" [Greek: emphyton] law of those operations which were necessary for attaining that end; and furthermore he was instructed, in the knowledge of God and of all the means of his worship, with that wisdom by whose force — according to the will and mind of God shining in it — he could rightly render the obedience prescribed in the law. But since this "implanted" law [Greek: emphytos], which in this theology supplies the place of doctrine — that is, the "inward word" [Greek: logos endiathetos] — was connatural to the mind of man, it was not, as concerns the thing itself (or "materially," as they say), other than that light, or habit of mind, by which the doctrine about God and his worship is salutarily perceived; nor was it anything more than the fountain and origin of that order of the rational creature's dependence. But in respect of exercise, and of actual obedience, and "formally" speaking, it was distinct from it.</w:t>
      </w:r>
    </w:p>
    <w:p>
      <w:r>
        <w:t>VI. Since, therefore, God made man upright (Eccles. 7:29), in his own image (Gen. 1:26, 27) — which consists in wisdom, justice, and holiness (Col. 3:10; Eph. 4:23, 24) — and commanded him to hold the other creatures under his dominion, to his [God's] glory (to which dominion he would be wholly unequal unless their natures had been thoroughly known to him); and exacted from him obedience under the penalty of eternal death, and with the promise of a reward of blessed life: it is plain that he was instructed with that wisdom and moral light by which he could both know God, and perfectly understand the "implanted" law, and the revelation of the properties of God in the creation of all things, and the sacramental "law-giving" [Greek: nomothesia]. And being instructed with this theology, nothing at all was lacking to him for rightly worshiping God, or for living well and blessedly.</w:t>
      </w:r>
    </w:p>
    <w:p>
      <w:r>
        <w:t>VII. And hence an estimate can be made of the obedience of the first man, of the proposed reward, together with the nature of the sin itself, and also of the threatened punishment. For the obedience to be rendered by force of the covenant had to be conformable to his connate light, or theology, delineated above; and the covenant itself, as it was connatural to Adam, so it was known to him; for it is plain that by force of this theology he knew both his duty and his reward. But the superadded sacramental precept did not reveal the covenant, but opened the way to sealing it. The proposed reward consisted in nothing but the everlasting enjoyment of God. The voice of the law is still the same thus far: "Do this, and you shall live"; for God never appointed any other reward of the obedience to be rendered by force of the covenant. But after what space of time, finally, run out, it would have befallen Adam to enjoy God under the character of reward — since God himself never foreknew it as future — is a subtle and dangerous disputation. That the first man, if he had stood in his original state, would have obtained the reward, and that the reward itself would have been God,</w:t>
      </w:r>
    </w:p>
    <w:p>
      <w:pPr>
        <w:pStyle w:val="Heading2"/>
        <w:spacing w:before="200" w:after="80"/>
      </w:pPr>
      <w:r>
        <w:rPr>
          <w:rFonts w:ascii="Georgia" w:hAnsi="Georgia"/>
          <w:color w:val="555555"/>
        </w:rPr>
        <w:t>[ p. 43 ]</w:t>
      </w:r>
    </w:p>
    <w:p>
      <w:r>
        <w:t>is plain from the very nature of the covenant; the time and manner in which it would have befallen him so to enjoy God, neither the nature of the thing nor the sacred page indicates. The obedience of the first man would therefore have been a universal and express exemplar of the image of God in all things; the reward, God himself. But his first sin, since it was committed against the directing force of this theology, plainly consisted in the total subversion of the moral order of the creature's dependence on God; whence the punishment of that sin [was] eternal separation from God, with the additional infliction, moreover, of the sense of punishment, which vindicatory justice could not but exact. After, therefore, the body and soul of the sinner had experienced the first death, in their being torn from one another, they had to be united again — by the divine power serving justice thus far — to undergo the second [death], consisting in eternal separation from God under the gravest punishments; from which condition, namely, we have been freed through Christ. The reward, therefore, and the punishment annexed to the first covenant, as concerns their substance (so to speak), differed in nothing from those which follow upon the new covenant. God himself, and separation from God, contain the nature of each on both sides. Nor can any other reward or other punishment be assigned; though it can perhaps be said that each was increased by the accession of some degrees, by force of the new covenant. Hence the reward is now called "a far more exceeding and eternal weight of glory" [Greek: kathʼ hyperbolēn eis hyperbolēn aiōnion baros doxēs], 2 Cor. 4:17; and the punishment, "death unto death" [Greek: thanatos eis thanaton], ch. 2:16. Of the resurrection of Adam, "apart from the word of the incarnation" [Greek: ektos tou logou ensarkōseōs], Scripture is indeed silent; for it does not pursue empty things, nor curiously discuss matters on the supposition of a state that would never be. But of the state of those who are utterly strangers to the mediation of Christ — since they never believed in him, nor sinned against his grace, of which they never heard anything — it speaks openly enough. But to hold that Christ himself merited the resurrection of men from the dead unto condemnation, for sins committed without law and without any knowledge of Christ, is impious. Since, therefore, Adam's immortality in his original state in no way depended on the internal principles of nature, but on the sole and most free good pleasure of God — that external preserving cause being removed by sin — it was necessary that Adam should die at a certain time, and by force of the covenant be drawn out of the state of natural death to judgment.</w:t>
      </w:r>
    </w:p>
    <w:p>
      <w:r>
        <w:t>VIII. And let it suffice to have discoursed these things about natural theology considered in its original and native purity; it remains that we briefly survey its "destruction" [Greek: aphanismos] through the entrance of sin.</w:t>
      </w:r>
    </w:p>
    <w:p>
      <w:r>
        <w:t>IX. But the entrance of sin, and the abolition of the divine covenant through that entrance, are known from elsewhere, and are here presupposed; so here we must treat only of the removal of this theology through them.</w:t>
      </w:r>
    </w:p>
    <w:p>
      <w:r>
        <w:t>X. That all theology ought to be sufficient for attaining its proper end will be granted. This [end] consists in the glory of God, and in the eternal felicity of the theologians themselves. The image of God in man being therefore abolished through the entrance of sin, that law of "the knowledge of God" [Greek: theognōsias], implanted, of which</w:t>
      </w:r>
    </w:p>
    <w:p>
      <w:pPr>
        <w:pStyle w:val="Heading2"/>
        <w:spacing w:before="200" w:after="80"/>
      </w:pPr>
      <w:r>
        <w:rPr>
          <w:rFonts w:ascii="Georgia" w:hAnsi="Georgia"/>
          <w:color w:val="555555"/>
        </w:rPr>
        <w:t>[ p. 44 ]</w:t>
      </w:r>
    </w:p>
    <w:p>
      <w:r>
        <w:t>we have spoken, is utterly deprived of the nature and use of theology, so that the whole human race must rightly be reckoned to have been divested of all true theology through sin: these things are to be taught. So close was the union between that original doctrine and the habit of mind, that, torn apart, they could not maintain their station. But that salutary light, by which (we have shown) the proper form, as it were, of this original theology consisted, was extinguished through sin; so theology itself suffered "destruction" [Greek: aphanismos]. Besides, no doctrine can properly be called theology which does not rest on some divine covenant, by whose force the theologians themselves may please God and at length enjoy him. For all the theology of wayfarers directs men in the knowledge of God, and goads them to render the obedience due according to the norm of the covenant which it has pleased God to enter into with them. But that covenant which was the foundation of that original theology was, as I said, abolished. For what would it now do? — since, although it commands all things well, yet there is no one who can obey. The doctrine of that covenant is indeed still most true: "for he that doeth the things of the law shall live in them." But the covenant itself, after the entrance of sin, retained no force by which it might bring men to God. Nor, because men are compelled to bear the command of his precepts, are they to be called "covenanted," since they are held by his bond only from the supreme right and dominion of God, which he cannot abdicate. To such a pitch of misery has it come through sin, that the very doctrine set forth in the law of nature — however it accompanied the original light — was nevertheless not sufficient to direct sinners in the way of life; nor, however much it might wish, could it save sinners at all. For to know God, and to obey him as Creator, Ruler, and Rewarder, unless a man be furthermore instructed in the knowledge of his grace and mercy through Jesus Christ, suffices no one for salvation after the entrance of sin. Truly, therefore, the "inward and connate" [Greek: endiatheton et congenitum] light lost, through sin, the true ends of theology, its salutary use, and its force efficaciously directing the theologians in the way of life.</w:t>
      </w:r>
    </w:p>
    <w:p>
      <w:r>
        <w:t>XI. And this is the reason why, from the apostasy of the theologians, theology itself also was utterly abolished — which we shall not find to have happened afterward. For since all theology, as we have said, is founded on a covenant, the covenant being destroyed, theology itself must necessarily collapse. But this covenant entered into with Adam rested on a moral dependence on God that was absolutely universal. In no way, therefore, could it be that it should not be made void through the first sin. The matter stands in the same way in the new covenant. The theology of the covenanted rests on the covenant. Whether any of the covenanted can fall from that covenant, or be cast down, we do not now dispute. The covenant itself cannot be abolished, because it is ratified in and with Christ the Mediator; nor accordingly does the theology resting on it totter. However much, therefore, the theologians have fallen away from its doctrine (as we shall often see), yet theology itself has remained altogether stable and immutable, the nature of the covenant requiring it.</w:t>
      </w:r>
    </w:p>
    <w:p>
      <w:pPr>
        <w:spacing w:after="160"/>
      </w:pPr>
      <w:r>
        <w:rPr>
          <w:i/>
          <w:color w:val="444444"/>
          <w:sz w:val="21"/>
        </w:rPr>
        <w:t>[Owen's sentence "So concerning this [theology]…" carries over to p. 45, where Chapter V begins, "On the corruption and loss of natural theology" — the next section.]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