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8, concluding): Digression on Universal Grace, §§ XLVII–L (printed pp. 76–78)</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77 ]. This part closes the digression on universal grace: how the nations fashioned idols after their own corrupt image, and Owen's reply to the last argument (drawn from Rom. 1:21–22) that the heathen, had they used "that which may be known of God" well, would have been "excused." Greek is translated with the transliteration bracketed. Translator's notes are in square brackets; everything else is Owen. (This part opens on p. 76, begun in Part 7; with §L the digression, and Chapter VI, end.)</w:t>
      </w:r>
    </w:p>
    <w:p>
      <w:pPr>
        <w:pStyle w:val="Heading1"/>
        <w:spacing w:before="280"/>
      </w:pPr>
      <w:r>
        <w:rPr>
          <w:rFonts w:ascii="Georgia" w:hAnsi="Georgia"/>
          <w:color w:val="000000"/>
        </w:rPr>
        <w:t>Digression on Universal Grace (concluded)</w:t>
      </w:r>
    </w:p>
    <w:p>
      <w:pPr>
        <w:pStyle w:val="Heading2"/>
        <w:spacing w:before="200" w:after="80"/>
      </w:pPr>
      <w:r>
        <w:rPr>
          <w:rFonts w:ascii="Georgia" w:hAnsi="Georgia"/>
          <w:color w:val="555555"/>
        </w:rPr>
        <w:t>[ p. 76 (cont.) ]</w:t>
      </w:r>
    </w:p>
    <w:p>
      <w:r>
        <w:t>XLVII. The nations did indeed feign some of their idols placable. And why should they not feign the deity which they themselves had made to be easily favorable and accessible to them? For since [man] had of his own accord cast away that image of himself by which the true God had created him, and had thereby taken from himself all community with that true God his Creator, he set about to fashion, and as it were to create, new, fictitious gods, after that corrupt image in which he was constituted by his apostasy from the true God; and, entangled in vices, since he was [absorbed] in his delights, he daily set up in his mind a deity fashioned after his own likeness, and more concordant with himself. Hence he experienced nothing in his own nature but that he supposed the same thing forthwith</w:t>
      </w:r>
    </w:p>
    <w:p>
      <w:pPr>
        <w:pStyle w:val="Heading2"/>
        <w:spacing w:before="200" w:after="80"/>
      </w:pPr>
      <w:r>
        <w:rPr>
          <w:rFonts w:ascii="Georgia" w:hAnsi="Georgia"/>
          <w:color w:val="555555"/>
        </w:rPr>
        <w:t>[ p. 77 ]</w:t>
      </w:r>
    </w:p>
    <w:p>
      <w:r>
        <w:t>to have a place in those gods which he had feigned for himself at his pleasure. Hence each one, according to his own genius and disposition, invented them [as] irascible, placable, easy, or stern. But what is this to our God, the Father of the Lord Jesus Christ — "whom no one has seen; that only-begotten Son, who is in the bosom of the Father, he has expounded him to us" [John 1:18]?</w:t>
      </w:r>
    </w:p>
    <w:p>
      <w:r>
        <w:t>XLVIII. There still remains an argument, which I have cast into this last place precisely because, had I not found that it pleased some learned men (carried away, I fear, by party zeal), I would have judged it a puerile sophism, and unworthy to occupy any place in this cause. It is wrung from the first chapter of Paul's Epistle to the Romans, verses 21, 22. "Since," some say, "men did not use 'that which may be known of God' [Greek: tō gnōstō tou Theou] as it became them, they were made inexcusable" — that is, since they polluted themselves with the crime of idolatry (of which the apostle there treats), although God had laid open his eternal power and truth through the works of creation. What then? "If they had used it well, they would not have been inexcusable; if they had not been inexcusable, they would have been excusable; if they had been excusable, they would have been excused." Response: This reasoning would have some plausibility if it had been equally easy for men destitute of the word to use "that which may be known of God" [Greek: tō gnōstō tou Theou] well as to use it ill. But that is presumed gratis, and is a "begging of the question" [Greek: en archē]. And yet the whole of this speech hangs on it. Because it is most certain that men could use "that which may be known of God" [Greek: tō gnōstō tou Theou] ill — and the apostle shows that they so used it — therefore that they could use it rightly is indeed supposed, but most falsely.</w:t>
      </w:r>
    </w:p>
    <w:p>
      <w:r>
        <w:t>XLIX. Next, if they had used it rightly — namely, in that kind of use of which the apostle speaks — how far would they have been excused? So far as to be saved? But about their salvation nothing at all occurs in the apostle; nay, he proves on set purpose that no one, through the use of those means granted to the nations, could ever have obtained salvation without the saving grace of God in Christ. They could indeed have abstained from the foulest crime of idolatry so far that it could not deservedly be objected to them in the way it is here objected by the apostle. Therefore, of this enthymeme — "because they did not use 'that which may be known of God' well, they were made inexcusable; therefore, if they had used it well, they would have been excused" — if the consequence be reckoned legitimate (which, however, is most false, since the account of the ill use and of the right use of the means of salvation, or of the saving knowledge of God, is not the same), there is no other meaning than "they would not have polluted themselves with the crime of idolatry"; for those words, "excusable" and "excused," must necessarily be restricted to the subject matter of which the apostle treats — which is everywhere most true. But they go on arguing: "They would not have been excused," they say, "unless they had fled to the mercy of God; and they would not have fled to him, unless that manifestation under which they lived taught that they must flee to it." Response: They would have been "excused" so far as the apostle treats of them in that place, even though they had not fled to the divine mercy. That they could use that "which may be known" [Greek: tō gnōstō] further, remains to be proved.</w:t>
      </w:r>
    </w:p>
    <w:p>
      <w:pPr>
        <w:pStyle w:val="Heading2"/>
        <w:spacing w:before="200" w:after="80"/>
      </w:pPr>
      <w:r>
        <w:rPr>
          <w:rFonts w:ascii="Georgia" w:hAnsi="Georgia"/>
          <w:color w:val="555555"/>
        </w:rPr>
        <w:t>[ p. 78 ]</w:t>
      </w:r>
    </w:p>
    <w:p>
      <w:r>
        <w:t>L. And these things may suffice by way of a sample — at least that we may see of what kind are those arguments which men learned on every side use in this cause. To one pressing further, both the plan of the present work, and the lucubrations of others recently published in this very cause, stand in the way.</w:t>
      </w:r>
    </w:p>
    <w:p>
      <w:pPr>
        <w:spacing w:after="160"/>
      </w:pPr>
      <w:r>
        <w:rPr>
          <w:i/>
          <w:color w:val="444444"/>
          <w:sz w:val="21"/>
        </w:rPr>
        <w:t>[Here the Digression on Universal Grace, and with it Chapter VI, end. There follows "On Natural Theology, Part Three, Which Concerns Its Total Corruption, Whereby It Became Apostate," beginning with Chapter VII — the next section.]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