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FCC38">
      <w:pPr>
        <w:jc w:val="center"/>
      </w:pPr>
      <w:r>
        <w:rPr>
          <w:rFonts w:ascii="Arial" w:hAnsi="Arial" w:eastAsia="微软雅黑"/>
          <w:b/>
          <w:sz w:val="36"/>
        </w:rPr>
        <w:t>Reid-Hillview Airport Lead Analysis: TWFE with Weather Controls</w:t>
      </w:r>
    </w:p>
    <w:p w14:paraId="1D966DDE">
      <w:pPr>
        <w:jc w:val="center"/>
      </w:pPr>
      <w:r>
        <w:rPr>
          <w:i/>
          <w:sz w:val="20"/>
        </w:rPr>
        <w:t>Sample window: 2016-01-01 to 2025-01-01; main exposure band: 0-4 km</w:t>
      </w:r>
    </w:p>
    <w:p w14:paraId="0294B51B">
      <w:pPr>
        <w:pStyle w:val="2"/>
      </w:pPr>
      <w:r>
        <w:t xml:space="preserve">1. Executive Summary </w:t>
      </w:r>
    </w:p>
    <w:p w14:paraId="26961FCF">
      <w:pPr>
        <w:ind w:left="288" w:hanging="216"/>
      </w:pPr>
      <w:r>
        <w:rPr>
          <w:b/>
        </w:rPr>
        <w:t xml:space="preserve">• </w:t>
      </w:r>
      <w:r>
        <w:t>The analysis successfully restricts the sample to 2016-01-01 &lt;= date &lt; 2025-01-01. The lead panel covers 112,983 daily observations from 270 monitors, ending on 2024-12-31.</w:t>
      </w:r>
    </w:p>
    <w:p w14:paraId="3CC6BAF2">
      <w:pPr>
        <w:ind w:left="288" w:hanging="216"/>
      </w:pPr>
      <w:r>
        <w:rPr>
          <w:b/>
        </w:rPr>
        <w:t xml:space="preserve">• </w:t>
      </w:r>
      <w:r>
        <w:t>Weather merge worked well: temperature, wind speed, humidity, and pressure are all 0% missing in the final airport-monitor-date panel.</w:t>
      </w:r>
    </w:p>
    <w:p w14:paraId="576A6F1B">
      <w:pPr>
        <w:ind w:left="288" w:hanging="216"/>
      </w:pPr>
      <w:r>
        <w:rPr>
          <w:b/>
        </w:rPr>
        <w:t xml:space="preserve">• </w:t>
      </w:r>
      <w:r>
        <w:t>The final TWFE regression sample for the 0-4 km band contains 14 airports: Reid-Hillview plus 13 control airports, with 1,386 airport-month observations.</w:t>
      </w:r>
    </w:p>
    <w:p w14:paraId="1DC02032">
      <w:pPr>
        <w:ind w:left="288" w:hanging="216"/>
      </w:pPr>
      <w:r>
        <w:rPr>
          <w:b/>
        </w:rPr>
        <w:t xml:space="preserve">• </w:t>
      </w:r>
      <w:r>
        <w:t>The estimated RHV x Post-2022 coefficient remains large and negative after adding weather controls. The implied decline is about 67% relative to control airports.</w:t>
      </w:r>
    </w:p>
    <w:p w14:paraId="1094D199">
      <w:pPr>
        <w:ind w:left="288" w:hanging="216"/>
      </w:pPr>
      <w:r>
        <w:rPr>
          <w:b/>
        </w:rPr>
        <w:t xml:space="preserve">• </w:t>
      </w:r>
      <w:r>
        <w:t>The event-study plot shows a sharp and persistent decline beginning in 2022, but several pre-treatment years are not exactly zero. This means the evidence is strong and suggestive, but the causal interpretation should be cautious.</w:t>
      </w:r>
    </w:p>
    <w:p w14:paraId="20C429A7">
      <w:pPr>
        <w:pStyle w:val="2"/>
      </w:pPr>
      <w:r>
        <w:t>2.</w:t>
      </w:r>
      <w:r>
        <w:rPr>
          <w:rFonts w:hint="eastAsia" w:eastAsia="宋体"/>
          <w:lang w:val="en-US" w:eastAsia="zh-CN"/>
        </w:rPr>
        <w:t>Data procession method</w:t>
      </w:r>
      <w:r>
        <w:t xml:space="preserve"> </w:t>
      </w:r>
    </w:p>
    <w:p w14:paraId="2CEF7CFA">
      <w:pPr>
        <w:pStyle w:val="3"/>
      </w:pPr>
      <w:r>
        <w:t>2.1 Why require at least 12 pre-months and 3 post-months?</w:t>
      </w:r>
    </w:p>
    <w:p w14:paraId="71A94F05">
      <w:r>
        <w:rPr>
          <w:b/>
        </w:rPr>
        <w:t xml:space="preserve">Reason: </w:t>
      </w:r>
      <w:r>
        <w:t>TWFE needs each control airport to contribute meaningful information before and after the policy date. Airports with only pre-period data cannot directly help estimate post-2022 counterfactual changes. The 12-pre-month and 3-post-month rule is a minimum coverage screen; it removes airport panels that are too short to be useful while keeping enough controls for estimation.</w:t>
      </w:r>
    </w:p>
    <w:p w14:paraId="0B7B2722">
      <w:pPr>
        <w:pStyle w:val="3"/>
      </w:pPr>
      <w:r>
        <w:t>2.2 Why exclude other Santa Clara County control airports?</w:t>
      </w:r>
    </w:p>
    <w:p w14:paraId="4A605F57">
      <w:r>
        <w:rPr>
          <w:b/>
        </w:rPr>
        <w:t xml:space="preserve">Reason: </w:t>
      </w:r>
      <w:r>
        <w:t>Reid-Hillview is in Santa Clara County. Other Santa Clara County airports may have been exposed to the same local fuel policy environment or related county-level changes. If they are included as controls, the control group could be partially treated, which would contaminate the comparison. The code keeps Reid-Hillview but removes Santa Clara County non-treated airports from the control pool.</w:t>
      </w:r>
    </w:p>
    <w:p w14:paraId="74750794">
      <w:pPr>
        <w:ind w:left="288" w:hanging="216"/>
      </w:pPr>
    </w:p>
    <w:p w14:paraId="0C61CA67">
      <w:pPr>
        <w:ind w:left="288" w:hanging="216"/>
      </w:pPr>
    </w:p>
    <w:p w14:paraId="73E0FA99">
      <w:pPr>
        <w:ind w:left="288" w:hanging="216"/>
      </w:pPr>
    </w:p>
    <w:p w14:paraId="37E099F6">
      <w:pPr>
        <w:ind w:left="288" w:hanging="216"/>
      </w:pPr>
    </w:p>
    <w:p w14:paraId="29A4883F">
      <w:pPr>
        <w:ind w:left="288" w:hanging="216"/>
      </w:pPr>
    </w:p>
    <w:p w14:paraId="6D533142">
      <w:pPr>
        <w:ind w:left="288" w:hanging="216"/>
      </w:pPr>
      <w:bookmarkStart w:id="0" w:name="_GoBack"/>
      <w:bookmarkEnd w:id="0"/>
    </w:p>
    <w:p w14:paraId="3BAFAF2E">
      <w:pPr>
        <w:pStyle w:val="2"/>
      </w:pPr>
      <w:r>
        <w:t>3. Data and Sample Construction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5328"/>
      </w:tblGrid>
      <w:tr w14:paraId="44B39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shd w:val="clear" w:color="auto" w:fill="D9EAF7"/>
            <w:vAlign w:val="center"/>
          </w:tcPr>
          <w:p w14:paraId="26A02C0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Item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6584B7E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Value</w:t>
            </w:r>
          </w:p>
        </w:tc>
      </w:tr>
      <w:tr w14:paraId="63C5C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vAlign w:val="center"/>
          </w:tcPr>
          <w:p w14:paraId="31E4DEA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Lead daily observations</w:t>
            </w:r>
          </w:p>
        </w:tc>
        <w:tc>
          <w:tcPr>
            <w:tcW w:w="5328" w:type="dxa"/>
            <w:vAlign w:val="center"/>
          </w:tcPr>
          <w:p w14:paraId="34451DD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112,983</w:t>
            </w:r>
          </w:p>
        </w:tc>
      </w:tr>
      <w:tr w14:paraId="61033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vAlign w:val="center"/>
          </w:tcPr>
          <w:p w14:paraId="49D50FB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Unique lead monitors</w:t>
            </w:r>
          </w:p>
        </w:tc>
        <w:tc>
          <w:tcPr>
            <w:tcW w:w="5328" w:type="dxa"/>
            <w:vAlign w:val="center"/>
          </w:tcPr>
          <w:p w14:paraId="65D06C9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270</w:t>
            </w:r>
          </w:p>
        </w:tc>
      </w:tr>
      <w:tr w14:paraId="3990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vAlign w:val="center"/>
          </w:tcPr>
          <w:p w14:paraId="56F1C08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Counties</w:t>
            </w:r>
          </w:p>
        </w:tc>
        <w:tc>
          <w:tcPr>
            <w:tcW w:w="5328" w:type="dxa"/>
            <w:vAlign w:val="center"/>
          </w:tcPr>
          <w:p w14:paraId="6741054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138</w:t>
            </w:r>
          </w:p>
        </w:tc>
      </w:tr>
      <w:tr w14:paraId="0538D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vAlign w:val="center"/>
          </w:tcPr>
          <w:p w14:paraId="7023DE5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Lead date range</w:t>
            </w:r>
          </w:p>
        </w:tc>
        <w:tc>
          <w:tcPr>
            <w:tcW w:w="5328" w:type="dxa"/>
            <w:vAlign w:val="center"/>
          </w:tcPr>
          <w:p w14:paraId="5311744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2016-01-01 to 2024-12-31</w:t>
            </w:r>
          </w:p>
        </w:tc>
      </w:tr>
      <w:tr w14:paraId="2FD45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vAlign w:val="center"/>
          </w:tcPr>
          <w:p w14:paraId="3BEE87B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Santa Clara County daily observations</w:t>
            </w:r>
          </w:p>
        </w:tc>
        <w:tc>
          <w:tcPr>
            <w:tcW w:w="5328" w:type="dxa"/>
            <w:vAlign w:val="center"/>
          </w:tcPr>
          <w:p w14:paraId="2A21A97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869</w:t>
            </w:r>
          </w:p>
        </w:tc>
      </w:tr>
      <w:tr w14:paraId="3AAEC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vAlign w:val="center"/>
          </w:tcPr>
          <w:p w14:paraId="2F96375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Santa Clara County monitors</w:t>
            </w:r>
          </w:p>
        </w:tc>
        <w:tc>
          <w:tcPr>
            <w:tcW w:w="5328" w:type="dxa"/>
            <w:vAlign w:val="center"/>
          </w:tcPr>
          <w:p w14:paraId="2A9506C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</w:t>
            </w:r>
          </w:p>
        </w:tc>
      </w:tr>
      <w:tr w14:paraId="4ABC3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vAlign w:val="center"/>
          </w:tcPr>
          <w:p w14:paraId="5B80171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Weather missing rate</w:t>
            </w:r>
          </w:p>
        </w:tc>
        <w:tc>
          <w:tcPr>
            <w:tcW w:w="5328" w:type="dxa"/>
            <w:vAlign w:val="center"/>
          </w:tcPr>
          <w:p w14:paraId="7B557F1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0% for temperature, wind, humidity, pressure</w:t>
            </w:r>
          </w:p>
        </w:tc>
      </w:tr>
    </w:tbl>
    <w:p w14:paraId="7184F8F5">
      <w:r>
        <w:rPr>
          <w:b/>
        </w:rPr>
        <w:t>Distance-band daily sample: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440"/>
        <w:gridCol w:w="1440"/>
        <w:gridCol w:w="2160"/>
        <w:gridCol w:w="3024"/>
      </w:tblGrid>
      <w:tr w14:paraId="0F629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29239C8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Distance band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770300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Airports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D4F6A2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Monitors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49FC3B4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Daily observations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0735BA1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Date range</w:t>
            </w:r>
          </w:p>
        </w:tc>
      </w:tr>
      <w:tr w14:paraId="02CDD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CB829B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0-1 km</w:t>
            </w:r>
          </w:p>
        </w:tc>
        <w:tc>
          <w:tcPr>
            <w:tcW w:w="1440" w:type="dxa"/>
            <w:vAlign w:val="center"/>
          </w:tcPr>
          <w:p w14:paraId="59A2979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9</w:t>
            </w:r>
          </w:p>
        </w:tc>
        <w:tc>
          <w:tcPr>
            <w:tcW w:w="1440" w:type="dxa"/>
            <w:vAlign w:val="center"/>
          </w:tcPr>
          <w:p w14:paraId="2256B6B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9</w:t>
            </w:r>
          </w:p>
        </w:tc>
        <w:tc>
          <w:tcPr>
            <w:tcW w:w="2160" w:type="dxa"/>
            <w:vAlign w:val="center"/>
          </w:tcPr>
          <w:p w14:paraId="69E8BF2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2,883</w:t>
            </w:r>
          </w:p>
        </w:tc>
        <w:tc>
          <w:tcPr>
            <w:tcW w:w="3024" w:type="dxa"/>
            <w:vAlign w:val="center"/>
          </w:tcPr>
          <w:p w14:paraId="4FEC684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2016-01-01 to 2024-12-26</w:t>
            </w:r>
          </w:p>
        </w:tc>
      </w:tr>
      <w:tr w14:paraId="17A4F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BE90D3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1-3 km</w:t>
            </w:r>
          </w:p>
        </w:tc>
        <w:tc>
          <w:tcPr>
            <w:tcW w:w="1440" w:type="dxa"/>
            <w:vAlign w:val="center"/>
          </w:tcPr>
          <w:p w14:paraId="6760AAA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14</w:t>
            </w:r>
          </w:p>
        </w:tc>
        <w:tc>
          <w:tcPr>
            <w:tcW w:w="1440" w:type="dxa"/>
            <w:vAlign w:val="center"/>
          </w:tcPr>
          <w:p w14:paraId="2AAB0E5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14</w:t>
            </w:r>
          </w:p>
        </w:tc>
        <w:tc>
          <w:tcPr>
            <w:tcW w:w="2160" w:type="dxa"/>
            <w:vAlign w:val="center"/>
          </w:tcPr>
          <w:p w14:paraId="2BFBA54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3,595</w:t>
            </w:r>
          </w:p>
        </w:tc>
        <w:tc>
          <w:tcPr>
            <w:tcW w:w="3024" w:type="dxa"/>
            <w:vAlign w:val="center"/>
          </w:tcPr>
          <w:p w14:paraId="2C6696F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2016-01-01 to 2024-12-26</w:t>
            </w:r>
          </w:p>
        </w:tc>
      </w:tr>
      <w:tr w14:paraId="4235B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E0D0D4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3-5 km</w:t>
            </w:r>
          </w:p>
        </w:tc>
        <w:tc>
          <w:tcPr>
            <w:tcW w:w="1440" w:type="dxa"/>
            <w:vAlign w:val="center"/>
          </w:tcPr>
          <w:p w14:paraId="550B329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38</w:t>
            </w:r>
          </w:p>
        </w:tc>
        <w:tc>
          <w:tcPr>
            <w:tcW w:w="1440" w:type="dxa"/>
            <w:vAlign w:val="center"/>
          </w:tcPr>
          <w:p w14:paraId="2884EEF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43</w:t>
            </w:r>
          </w:p>
        </w:tc>
        <w:tc>
          <w:tcPr>
            <w:tcW w:w="2160" w:type="dxa"/>
            <w:vAlign w:val="center"/>
          </w:tcPr>
          <w:p w14:paraId="6F1E663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14,287</w:t>
            </w:r>
          </w:p>
        </w:tc>
        <w:tc>
          <w:tcPr>
            <w:tcW w:w="3024" w:type="dxa"/>
            <w:vAlign w:val="center"/>
          </w:tcPr>
          <w:p w14:paraId="3A4166A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2016-01-01 to 2024-12-29</w:t>
            </w:r>
          </w:p>
        </w:tc>
      </w:tr>
      <w:tr w14:paraId="47AFB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2B90BD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0-4 km</w:t>
            </w:r>
          </w:p>
        </w:tc>
        <w:tc>
          <w:tcPr>
            <w:tcW w:w="1440" w:type="dxa"/>
            <w:vAlign w:val="center"/>
          </w:tcPr>
          <w:p w14:paraId="477F038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35</w:t>
            </w:r>
          </w:p>
        </w:tc>
        <w:tc>
          <w:tcPr>
            <w:tcW w:w="1440" w:type="dxa"/>
            <w:vAlign w:val="center"/>
          </w:tcPr>
          <w:p w14:paraId="3B53C49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38</w:t>
            </w:r>
          </w:p>
        </w:tc>
        <w:tc>
          <w:tcPr>
            <w:tcW w:w="2160" w:type="dxa"/>
            <w:vAlign w:val="center"/>
          </w:tcPr>
          <w:p w14:paraId="62162F4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11,291</w:t>
            </w:r>
          </w:p>
        </w:tc>
        <w:tc>
          <w:tcPr>
            <w:tcW w:w="3024" w:type="dxa"/>
            <w:vAlign w:val="center"/>
          </w:tcPr>
          <w:p w14:paraId="5CAE76A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2016-01-01 to 2024-12-26</w:t>
            </w:r>
          </w:p>
        </w:tc>
      </w:tr>
    </w:tbl>
    <w:p w14:paraId="67D2AEE7">
      <w:r>
        <w:rPr>
          <w:b/>
        </w:rPr>
        <w:t>Plotting sample after 24-month airport-band screen: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600"/>
      </w:tblGrid>
      <w:tr w14:paraId="6E897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57A76B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Distance band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1FD48F48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Airports kept for plots</w:t>
            </w:r>
          </w:p>
        </w:tc>
      </w:tr>
      <w:tr w14:paraId="20751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58AA0D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0-1 km</w:t>
            </w:r>
          </w:p>
        </w:tc>
        <w:tc>
          <w:tcPr>
            <w:tcW w:w="3600" w:type="dxa"/>
            <w:vAlign w:val="center"/>
          </w:tcPr>
          <w:p w14:paraId="1164680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4</w:t>
            </w:r>
          </w:p>
        </w:tc>
      </w:tr>
      <w:tr w14:paraId="0B282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CEE9A1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1-3 km</w:t>
            </w:r>
          </w:p>
        </w:tc>
        <w:tc>
          <w:tcPr>
            <w:tcW w:w="3600" w:type="dxa"/>
            <w:vAlign w:val="center"/>
          </w:tcPr>
          <w:p w14:paraId="084161D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10</w:t>
            </w:r>
          </w:p>
        </w:tc>
      </w:tr>
      <w:tr w14:paraId="07A4E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14FD09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3-5 km</w:t>
            </w:r>
          </w:p>
        </w:tc>
        <w:tc>
          <w:tcPr>
            <w:tcW w:w="3600" w:type="dxa"/>
            <w:vAlign w:val="center"/>
          </w:tcPr>
          <w:p w14:paraId="0709557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27</w:t>
            </w:r>
          </w:p>
        </w:tc>
      </w:tr>
      <w:tr w14:paraId="2530C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F88C9A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0-4 km</w:t>
            </w:r>
          </w:p>
        </w:tc>
        <w:tc>
          <w:tcPr>
            <w:tcW w:w="3600" w:type="dxa"/>
            <w:vAlign w:val="center"/>
          </w:tcPr>
          <w:p w14:paraId="3B1650D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21</w:t>
            </w:r>
          </w:p>
        </w:tc>
      </w:tr>
    </w:tbl>
    <w:p w14:paraId="2DE50076">
      <w:pPr>
        <w:pStyle w:val="2"/>
      </w:pPr>
      <w:r>
        <w:t>4. TWFE Regression Results</w:t>
      </w:r>
    </w:p>
    <w:p w14:paraId="1F5E9AB4">
      <w:r>
        <w:rPr>
          <w:b/>
        </w:rPr>
        <w:t xml:space="preserve">Model specification: </w:t>
      </w:r>
      <w:r>
        <w:t>The dependent variable is log(mean monthly lead + 0.001). The model includes airport fixed effects and month fixed effects, with standard errors clustered by airport.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6"/>
        <w:gridCol w:w="2216"/>
        <w:gridCol w:w="2525"/>
        <w:gridCol w:w="3477"/>
      </w:tblGrid>
      <w:tr w14:paraId="01296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7DEAD7A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Model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4B807D9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RHV x Post-2022 beta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804FEE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Approximate percent change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6B62584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Weather controls</w:t>
            </w:r>
          </w:p>
        </w:tc>
      </w:tr>
      <w:tr w14:paraId="24158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04E623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Baseline</w:t>
            </w:r>
          </w:p>
        </w:tc>
        <w:tc>
          <w:tcPr>
            <w:tcW w:w="2304" w:type="dxa"/>
            <w:vAlign w:val="center"/>
          </w:tcPr>
          <w:p w14:paraId="1FF68CE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-1.143</w:t>
            </w:r>
          </w:p>
        </w:tc>
        <w:tc>
          <w:tcPr>
            <w:tcW w:w="2592" w:type="dxa"/>
            <w:vAlign w:val="center"/>
          </w:tcPr>
          <w:p w14:paraId="2B1B64E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-68.1%</w:t>
            </w:r>
          </w:p>
        </w:tc>
        <w:tc>
          <w:tcPr>
            <w:tcW w:w="3600" w:type="dxa"/>
            <w:vAlign w:val="center"/>
          </w:tcPr>
          <w:p w14:paraId="649CBCA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No</w:t>
            </w:r>
          </w:p>
        </w:tc>
      </w:tr>
      <w:tr w14:paraId="33F0A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6F0417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Weather controls</w:t>
            </w:r>
          </w:p>
        </w:tc>
        <w:tc>
          <w:tcPr>
            <w:tcW w:w="2304" w:type="dxa"/>
            <w:vAlign w:val="center"/>
          </w:tcPr>
          <w:p w14:paraId="601FB33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-1.111</w:t>
            </w:r>
          </w:p>
        </w:tc>
        <w:tc>
          <w:tcPr>
            <w:tcW w:w="2592" w:type="dxa"/>
            <w:vAlign w:val="center"/>
          </w:tcPr>
          <w:p w14:paraId="013486D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-67.1%</w:t>
            </w:r>
          </w:p>
        </w:tc>
        <w:tc>
          <w:tcPr>
            <w:tcW w:w="3600" w:type="dxa"/>
            <w:vAlign w:val="center"/>
          </w:tcPr>
          <w:p w14:paraId="3060B98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Temperature, wind speed, humidity, pressure</w:t>
            </w:r>
          </w:p>
        </w:tc>
      </w:tr>
      <w:tr w14:paraId="2E6DC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4A95FEB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Weather + wind direction</w:t>
            </w:r>
          </w:p>
        </w:tc>
        <w:tc>
          <w:tcPr>
            <w:tcW w:w="2304" w:type="dxa"/>
            <w:vAlign w:val="center"/>
          </w:tcPr>
          <w:p w14:paraId="6815978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-1.113</w:t>
            </w:r>
          </w:p>
        </w:tc>
        <w:tc>
          <w:tcPr>
            <w:tcW w:w="2592" w:type="dxa"/>
            <w:vAlign w:val="center"/>
          </w:tcPr>
          <w:p w14:paraId="4FEFCEF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-67.2%</w:t>
            </w:r>
          </w:p>
        </w:tc>
        <w:tc>
          <w:tcPr>
            <w:tcW w:w="3600" w:type="dxa"/>
            <w:vAlign w:val="center"/>
          </w:tcPr>
          <w:p w14:paraId="2B7D8EC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Adds wind direction sine/cosine</w:t>
            </w:r>
          </w:p>
        </w:tc>
      </w:tr>
    </w:tbl>
    <w:p w14:paraId="3ABA72AA">
      <w:r>
        <w:rPr>
          <w:b/>
        </w:rPr>
        <w:t xml:space="preserve">Interpretation: </w:t>
      </w:r>
      <w:r>
        <w:t>The coefficient stays close to -1.11 after adding weather controls, so the estimated decline near Reid-Hillview is not explained away by local weather conditions. The implied decline is about 67% relative to the control airports.</w:t>
      </w:r>
    </w:p>
    <w:p w14:paraId="3F578BA3">
      <w:pPr>
        <w:pStyle w:val="2"/>
      </w:pPr>
      <w:r>
        <w:t>5. Event Study Results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1728"/>
        <w:gridCol w:w="4608"/>
      </w:tblGrid>
      <w:tr w14:paraId="500D7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13ED571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Relative year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09136DA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Calendar year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98A6EF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Estimate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1B708FA6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Interpretation</w:t>
            </w:r>
          </w:p>
        </w:tc>
      </w:tr>
      <w:tr w14:paraId="004F3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AAEB94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-6</w:t>
            </w:r>
          </w:p>
        </w:tc>
        <w:tc>
          <w:tcPr>
            <w:tcW w:w="1728" w:type="dxa"/>
            <w:vAlign w:val="center"/>
          </w:tcPr>
          <w:p w14:paraId="43E16C6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2016</w:t>
            </w:r>
          </w:p>
        </w:tc>
        <w:tc>
          <w:tcPr>
            <w:tcW w:w="1728" w:type="dxa"/>
            <w:vAlign w:val="center"/>
          </w:tcPr>
          <w:p w14:paraId="7A72249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0.101</w:t>
            </w:r>
          </w:p>
        </w:tc>
        <w:tc>
          <w:tcPr>
            <w:tcW w:w="4608" w:type="dxa"/>
            <w:vAlign w:val="center"/>
          </w:tcPr>
          <w:p w14:paraId="404BCF5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Not statistically significant</w:t>
            </w:r>
          </w:p>
        </w:tc>
      </w:tr>
      <w:tr w14:paraId="64440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3D4FDFA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-5</w:t>
            </w:r>
          </w:p>
        </w:tc>
        <w:tc>
          <w:tcPr>
            <w:tcW w:w="1728" w:type="dxa"/>
            <w:vAlign w:val="center"/>
          </w:tcPr>
          <w:p w14:paraId="10B7422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2017</w:t>
            </w:r>
          </w:p>
        </w:tc>
        <w:tc>
          <w:tcPr>
            <w:tcW w:w="1728" w:type="dxa"/>
            <w:vAlign w:val="center"/>
          </w:tcPr>
          <w:p w14:paraId="2BCA242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0.141*</w:t>
            </w:r>
          </w:p>
        </w:tc>
        <w:tc>
          <w:tcPr>
            <w:tcW w:w="4608" w:type="dxa"/>
            <w:vAlign w:val="center"/>
          </w:tcPr>
          <w:p w14:paraId="20790B5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Positive pre-period difference</w:t>
            </w:r>
          </w:p>
        </w:tc>
      </w:tr>
      <w:tr w14:paraId="012C5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46D2D64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-4</w:t>
            </w:r>
          </w:p>
        </w:tc>
        <w:tc>
          <w:tcPr>
            <w:tcW w:w="1728" w:type="dxa"/>
            <w:vAlign w:val="center"/>
          </w:tcPr>
          <w:p w14:paraId="4D96797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2018</w:t>
            </w:r>
          </w:p>
        </w:tc>
        <w:tc>
          <w:tcPr>
            <w:tcW w:w="1728" w:type="dxa"/>
            <w:vAlign w:val="center"/>
          </w:tcPr>
          <w:p w14:paraId="583720F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0.257**</w:t>
            </w:r>
          </w:p>
        </w:tc>
        <w:tc>
          <w:tcPr>
            <w:tcW w:w="4608" w:type="dxa"/>
            <w:vAlign w:val="center"/>
          </w:tcPr>
          <w:p w14:paraId="3D3856C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Positive pre-period difference</w:t>
            </w:r>
          </w:p>
        </w:tc>
      </w:tr>
      <w:tr w14:paraId="47577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50C75C4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-2</w:t>
            </w:r>
          </w:p>
        </w:tc>
        <w:tc>
          <w:tcPr>
            <w:tcW w:w="1728" w:type="dxa"/>
            <w:vAlign w:val="center"/>
          </w:tcPr>
          <w:p w14:paraId="252DDA3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2020</w:t>
            </w:r>
          </w:p>
        </w:tc>
        <w:tc>
          <w:tcPr>
            <w:tcW w:w="1728" w:type="dxa"/>
            <w:vAlign w:val="center"/>
          </w:tcPr>
          <w:p w14:paraId="09FB7D3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-0.278.</w:t>
            </w:r>
          </w:p>
        </w:tc>
        <w:tc>
          <w:tcPr>
            <w:tcW w:w="4608" w:type="dxa"/>
            <w:vAlign w:val="center"/>
          </w:tcPr>
          <w:p w14:paraId="009E836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Marginally negative</w:t>
            </w:r>
          </w:p>
        </w:tc>
      </w:tr>
      <w:tr w14:paraId="7A320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4FE5223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-1</w:t>
            </w:r>
          </w:p>
        </w:tc>
        <w:tc>
          <w:tcPr>
            <w:tcW w:w="1728" w:type="dxa"/>
            <w:vAlign w:val="center"/>
          </w:tcPr>
          <w:p w14:paraId="0B8A428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2021</w:t>
            </w:r>
          </w:p>
        </w:tc>
        <w:tc>
          <w:tcPr>
            <w:tcW w:w="1728" w:type="dxa"/>
            <w:vAlign w:val="center"/>
          </w:tcPr>
          <w:p w14:paraId="2FEE4D2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-0.111</w:t>
            </w:r>
          </w:p>
        </w:tc>
        <w:tc>
          <w:tcPr>
            <w:tcW w:w="4608" w:type="dxa"/>
            <w:vAlign w:val="center"/>
          </w:tcPr>
          <w:p w14:paraId="2981770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Not statistically significant</w:t>
            </w:r>
          </w:p>
        </w:tc>
      </w:tr>
      <w:tr w14:paraId="13CCB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54AE87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0</w:t>
            </w:r>
          </w:p>
        </w:tc>
        <w:tc>
          <w:tcPr>
            <w:tcW w:w="1728" w:type="dxa"/>
            <w:vAlign w:val="center"/>
          </w:tcPr>
          <w:p w14:paraId="21A9FC7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2022</w:t>
            </w:r>
          </w:p>
        </w:tc>
        <w:tc>
          <w:tcPr>
            <w:tcW w:w="1728" w:type="dxa"/>
            <w:vAlign w:val="center"/>
          </w:tcPr>
          <w:p w14:paraId="2E94BAD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-0.889***</w:t>
            </w:r>
          </w:p>
        </w:tc>
        <w:tc>
          <w:tcPr>
            <w:tcW w:w="4608" w:type="dxa"/>
            <w:vAlign w:val="center"/>
          </w:tcPr>
          <w:p w14:paraId="5715F77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Large post-policy decline</w:t>
            </w:r>
          </w:p>
        </w:tc>
      </w:tr>
      <w:tr w14:paraId="05EFA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45340E1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1</w:t>
            </w:r>
          </w:p>
        </w:tc>
        <w:tc>
          <w:tcPr>
            <w:tcW w:w="1728" w:type="dxa"/>
            <w:vAlign w:val="center"/>
          </w:tcPr>
          <w:p w14:paraId="0A30048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2023</w:t>
            </w:r>
          </w:p>
        </w:tc>
        <w:tc>
          <w:tcPr>
            <w:tcW w:w="1728" w:type="dxa"/>
            <w:vAlign w:val="center"/>
          </w:tcPr>
          <w:p w14:paraId="084B20F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-1.089***</w:t>
            </w:r>
          </w:p>
        </w:tc>
        <w:tc>
          <w:tcPr>
            <w:tcW w:w="4608" w:type="dxa"/>
            <w:vAlign w:val="center"/>
          </w:tcPr>
          <w:p w14:paraId="65E1FBF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Decline persists</w:t>
            </w:r>
          </w:p>
        </w:tc>
      </w:tr>
      <w:tr w14:paraId="23044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0EDA906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</w:t>
            </w:r>
          </w:p>
        </w:tc>
        <w:tc>
          <w:tcPr>
            <w:tcW w:w="1728" w:type="dxa"/>
            <w:vAlign w:val="center"/>
          </w:tcPr>
          <w:p w14:paraId="4ADACA1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2024</w:t>
            </w:r>
          </w:p>
        </w:tc>
        <w:tc>
          <w:tcPr>
            <w:tcW w:w="1728" w:type="dxa"/>
            <w:vAlign w:val="center"/>
          </w:tcPr>
          <w:p w14:paraId="13068CF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-1.282***</w:t>
            </w:r>
          </w:p>
        </w:tc>
        <w:tc>
          <w:tcPr>
            <w:tcW w:w="4608" w:type="dxa"/>
            <w:vAlign w:val="center"/>
          </w:tcPr>
          <w:p w14:paraId="32A266A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Decline grows further</w:t>
            </w:r>
          </w:p>
        </w:tc>
      </w:tr>
    </w:tbl>
    <w:p w14:paraId="17D320D8">
      <w:r>
        <w:rPr>
          <w:b/>
        </w:rPr>
        <w:t xml:space="preserve">Interpretation: </w:t>
      </w:r>
      <w:r>
        <w:t>The event study supports a sharp drop beginning in 2022. However, 2017 and 2018 are statistically different from the 2019 reference year, so pre-trends are not perfectly flat. The results are strong suggestive evidence, not definitive causal proof.</w:t>
      </w:r>
    </w:p>
    <w:p w14:paraId="5774815B">
      <w:pPr>
        <w:pStyle w:val="2"/>
      </w:pPr>
      <w:r>
        <w:t>6. Figures</w:t>
      </w:r>
    </w:p>
    <w:p w14:paraId="64FA5236">
      <w:pPr>
        <w:jc w:val="center"/>
      </w:pPr>
      <w:r>
        <w:drawing>
          <wp:inline distT="0" distB="0" distL="114300" distR="114300">
            <wp:extent cx="6217920" cy="4380230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8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6771">
      <w:pPr>
        <w:jc w:val="center"/>
      </w:pPr>
      <w:r>
        <w:rPr>
          <w:i/>
          <w:color w:val="505050"/>
          <w:sz w:val="18"/>
        </w:rPr>
        <w:t>Figure 1. Airport-level monthly lead concentration panels, 0-4 km band.</w:t>
      </w:r>
    </w:p>
    <w:p w14:paraId="6165ED21">
      <w:pPr>
        <w:jc w:val="center"/>
      </w:pPr>
      <w:r>
        <w:drawing>
          <wp:inline distT="0" distB="0" distL="114300" distR="114300">
            <wp:extent cx="6217920" cy="4386580"/>
            <wp:effectExtent l="0" t="0" r="508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8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1E90">
      <w:pPr>
        <w:jc w:val="center"/>
      </w:pPr>
      <w:r>
        <w:rPr>
          <w:i/>
          <w:color w:val="505050"/>
          <w:sz w:val="18"/>
        </w:rPr>
        <w:t>Figure 2. Reid-Hillview versus control airports, monthly mean lead concentration.</w:t>
      </w:r>
    </w:p>
    <w:p w14:paraId="3B10736E">
      <w:pPr>
        <w:jc w:val="center"/>
      </w:pPr>
      <w:r>
        <w:drawing>
          <wp:inline distT="0" distB="0" distL="114300" distR="114300">
            <wp:extent cx="6217920" cy="4358005"/>
            <wp:effectExtent l="0" t="0" r="508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A369">
      <w:pPr>
        <w:jc w:val="center"/>
      </w:pPr>
      <w:r>
        <w:rPr>
          <w:i/>
          <w:color w:val="505050"/>
          <w:sz w:val="18"/>
        </w:rPr>
        <w:t>Figure 3. Event study with weather controls; reference year is 2019.</w:t>
      </w:r>
    </w:p>
    <w:p w14:paraId="779A97A8">
      <w:pPr>
        <w:pStyle w:val="2"/>
      </w:pPr>
      <w:r>
        <w:rPr>
          <w:rFonts w:hint="eastAsia" w:eastAsia="宋体"/>
          <w:lang w:val="en-US" w:eastAsia="zh-CN"/>
        </w:rPr>
        <w:t>7</w:t>
      </w:r>
      <w:r>
        <w:t xml:space="preserve">. Suggested Report </w:t>
      </w:r>
    </w:p>
    <w:p w14:paraId="54EB9CA8">
      <w:r>
        <w:rPr>
          <w:b/>
        </w:rPr>
        <w:t xml:space="preserve">Suggested conclusion: </w:t>
      </w:r>
      <w:r>
        <w:t>Using an airport-month panel from 2016 through 2024, the TWFE estimates show a large post-2022 decline in ambient lead concentrations within 0-4 km of Reid-Hillview relative to control airports. The estimate remains about 67% after adding weather controls, and the event study shows the decline begins in 2022 and persists through 2024. Because some pre-treatment coefficients differ from zero and there are only 14 airport clusters, interpret the results as strong suggestive evidence rather than definitive causal proof.</w:t>
      </w:r>
    </w:p>
    <w:sectPr>
      <w:pgSz w:w="12240" w:h="15840"/>
      <w:pgMar w:top="864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C11BE9"/>
    <w:rsid w:val="299327C4"/>
    <w:rsid w:val="779E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0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qFormat/>
    <w:uiPriority w:val="99"/>
    <w:pPr>
      <w:spacing w:after="120"/>
    </w:pPr>
  </w:style>
  <w:style w:type="paragraph" w:styleId="31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uiPriority w:val="99"/>
  </w:style>
  <w:style w:type="character" w:customStyle="1" w:styleId="136">
    <w:name w:val="Footer Char"/>
    <w:basedOn w:val="11"/>
    <w:link w:val="32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qFormat/>
    <w:uiPriority w:val="99"/>
  </w:style>
  <w:style w:type="character" w:customStyle="1" w:styleId="145">
    <w:name w:val="Body Text 2 Char"/>
    <w:basedOn w:val="11"/>
    <w:link w:val="21"/>
    <w:qFormat/>
    <w:uiPriority w:val="99"/>
  </w:style>
  <w:style w:type="character" w:customStyle="1" w:styleId="146">
    <w:name w:val="Body Text 3 Char"/>
    <w:basedOn w:val="11"/>
    <w:link w:val="31"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21943</cp:lastModifiedBy>
  <dcterms:modified xsi:type="dcterms:W3CDTF">2026-05-07T11:00:58Z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3076-12.2.0.23196</vt:lpwstr>
  </property>
  <property fmtid="{D5CDD505-2E9C-101B-9397-08002B2CF9AE}" pid="3" name="ICV">
    <vt:lpwstr>88D751850F4A4D0F8646440D06558052_13</vt:lpwstr>
  </property>
</Properties>
</file>