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CD70A" w14:textId="66F69D86" w:rsidR="000824ED" w:rsidRDefault="000824ED" w:rsidP="000824ED">
      <w:pPr>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Wilson Horn</w:t>
      </w:r>
    </w:p>
    <w:p w14:paraId="1E060F59" w14:textId="266F1304" w:rsidR="003E5569" w:rsidRDefault="003E5569" w:rsidP="000824ED">
      <w:pPr>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Research by Rebekah Dix</w:t>
      </w:r>
      <w:bookmarkStart w:id="0" w:name="_GoBack"/>
      <w:bookmarkEnd w:id="0"/>
    </w:p>
    <w:p w14:paraId="5E725886" w14:textId="6866EF5C" w:rsidR="000824ED" w:rsidRPr="000824ED" w:rsidRDefault="008E557E" w:rsidP="000824ED">
      <w:pPr>
        <w:jc w:val="center"/>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Myopic Best Responding in Spatial Networks</w:t>
      </w:r>
      <w:r w:rsidR="00FE6916">
        <w:rPr>
          <w:rFonts w:ascii="Times New Roman" w:hAnsi="Times New Roman" w:cs="Times New Roman"/>
          <w:color w:val="212121"/>
          <w:shd w:val="clear" w:color="auto" w:fill="FFFFFF"/>
        </w:rPr>
        <w:t>: Making Uber Efficient</w:t>
      </w:r>
    </w:p>
    <w:p w14:paraId="63BAE7DE" w14:textId="77777777" w:rsidR="000824ED" w:rsidRDefault="000824ED" w:rsidP="000824ED">
      <w:pPr>
        <w:rPr>
          <w:rFonts w:ascii="Times New Roman" w:hAnsi="Times New Roman" w:cs="Times New Roman"/>
          <w:color w:val="212121"/>
          <w:shd w:val="clear" w:color="auto" w:fill="FFFFFF"/>
        </w:rPr>
      </w:pPr>
    </w:p>
    <w:p w14:paraId="145E0BAA" w14:textId="77777777" w:rsidR="000824ED" w:rsidRDefault="000824ED" w:rsidP="000824ED">
      <w:pPr>
        <w:rPr>
          <w:rFonts w:ascii="Times New Roman" w:hAnsi="Times New Roman" w:cs="Times New Roman"/>
          <w:color w:val="212121"/>
          <w:shd w:val="clear" w:color="auto" w:fill="FFFFFF"/>
        </w:rPr>
      </w:pPr>
    </w:p>
    <w:p w14:paraId="76F22E54" w14:textId="04DE3769" w:rsidR="000824ED" w:rsidRPr="000824ED" w:rsidRDefault="007E7ABD" w:rsidP="00B64AB9">
      <w:pPr>
        <w:ind w:firstLine="720"/>
        <w:rPr>
          <w:rFonts w:ascii="Times New Roman" w:hAnsi="Times New Roman" w:cs="Times New Roman"/>
        </w:rPr>
      </w:pPr>
      <w:r>
        <w:rPr>
          <w:rFonts w:ascii="Times New Roman" w:hAnsi="Times New Roman" w:cs="Times New Roman"/>
          <w:color w:val="212121"/>
          <w:shd w:val="clear" w:color="auto" w:fill="FFFFFF"/>
        </w:rPr>
        <w:t xml:space="preserve">Through applications such as Uber and Lyft, </w:t>
      </w:r>
      <w:r w:rsidR="000824ED" w:rsidRPr="000824ED">
        <w:rPr>
          <w:rFonts w:ascii="Times New Roman" w:hAnsi="Times New Roman" w:cs="Times New Roman"/>
          <w:color w:val="212121"/>
          <w:shd w:val="clear" w:color="auto" w:fill="FFFFFF"/>
        </w:rPr>
        <w:t>we now have access to transportation twenty-four seven</w:t>
      </w:r>
      <w:r>
        <w:rPr>
          <w:rFonts w:ascii="Times New Roman" w:hAnsi="Times New Roman" w:cs="Times New Roman"/>
          <w:color w:val="212121"/>
          <w:shd w:val="clear" w:color="auto" w:fill="FFFFFF"/>
        </w:rPr>
        <w:t>. H</w:t>
      </w:r>
      <w:r w:rsidR="000824ED" w:rsidRPr="000824ED">
        <w:rPr>
          <w:rFonts w:ascii="Times New Roman" w:hAnsi="Times New Roman" w:cs="Times New Roman"/>
          <w:color w:val="212121"/>
          <w:shd w:val="clear" w:color="auto" w:fill="FFFFFF"/>
        </w:rPr>
        <w:t xml:space="preserve">ow has the rise of ride-sharing apps, breaking away from the taxi </w:t>
      </w:r>
      <w:r>
        <w:rPr>
          <w:rFonts w:ascii="Times New Roman" w:hAnsi="Times New Roman" w:cs="Times New Roman"/>
          <w:color w:val="212121"/>
          <w:shd w:val="clear" w:color="auto" w:fill="FFFFFF"/>
        </w:rPr>
        <w:t>tradition, shaped drivers’ choice</w:t>
      </w:r>
      <w:r w:rsidR="00B64AB9">
        <w:rPr>
          <w:rFonts w:ascii="Times New Roman" w:hAnsi="Times New Roman" w:cs="Times New Roman"/>
          <w:color w:val="212121"/>
          <w:shd w:val="clear" w:color="auto" w:fill="FFFFFF"/>
        </w:rPr>
        <w:t>s</w:t>
      </w:r>
      <w:r w:rsidR="000824ED" w:rsidRPr="000824ED">
        <w:rPr>
          <w:rFonts w:ascii="Times New Roman" w:hAnsi="Times New Roman" w:cs="Times New Roman"/>
          <w:color w:val="212121"/>
          <w:shd w:val="clear" w:color="auto" w:fill="FFFFFF"/>
        </w:rPr>
        <w:t xml:space="preserve"> as they operate within their app’s network? Truthfully, it hasn’t. Currently, those apps don’t allow drivers to see each other as they decide where to locate themselves </w:t>
      </w:r>
      <w:r>
        <w:rPr>
          <w:rFonts w:ascii="Times New Roman" w:hAnsi="Times New Roman" w:cs="Times New Roman"/>
          <w:color w:val="212121"/>
          <w:shd w:val="clear" w:color="auto" w:fill="FFFFFF"/>
        </w:rPr>
        <w:t>in</w:t>
      </w:r>
      <w:r w:rsidR="000824ED" w:rsidRPr="000824ED">
        <w:rPr>
          <w:rFonts w:ascii="Times New Roman" w:hAnsi="Times New Roman" w:cs="Times New Roman"/>
          <w:color w:val="212121"/>
          <w:shd w:val="clear" w:color="auto" w:fill="FFFFFF"/>
        </w:rPr>
        <w:t xml:space="preserve"> high rider-traffic areas despite how other drivers’ choices would a</w:t>
      </w:r>
      <w:r w:rsidR="00ED7E0E">
        <w:rPr>
          <w:rFonts w:ascii="Times New Roman" w:hAnsi="Times New Roman" w:cs="Times New Roman"/>
          <w:color w:val="212121"/>
          <w:shd w:val="clear" w:color="auto" w:fill="FFFFFF"/>
        </w:rPr>
        <w:t xml:space="preserve">ffect their own. Rebekah Dix </w:t>
      </w:r>
      <w:r w:rsidR="000824ED" w:rsidRPr="000824ED">
        <w:rPr>
          <w:rFonts w:ascii="Times New Roman" w:hAnsi="Times New Roman" w:cs="Times New Roman"/>
          <w:color w:val="212121"/>
          <w:shd w:val="clear" w:color="auto" w:fill="FFFFFF"/>
        </w:rPr>
        <w:t xml:space="preserve">in </w:t>
      </w:r>
      <w:r w:rsidR="00ED7E0E">
        <w:rPr>
          <w:rFonts w:ascii="Times New Roman" w:hAnsi="Times New Roman" w:cs="Times New Roman"/>
          <w:color w:val="212121"/>
          <w:shd w:val="clear" w:color="auto" w:fill="FFFFFF"/>
        </w:rPr>
        <w:t>her</w:t>
      </w:r>
      <w:r w:rsidR="000824ED" w:rsidRPr="000824ED">
        <w:rPr>
          <w:rFonts w:ascii="Times New Roman" w:hAnsi="Times New Roman" w:cs="Times New Roman"/>
          <w:color w:val="212121"/>
          <w:shd w:val="clear" w:color="auto" w:fill="FFFFFF"/>
        </w:rPr>
        <w:t xml:space="preserve"> paper, “</w:t>
      </w:r>
      <w:r w:rsidR="00ED7E0E">
        <w:rPr>
          <w:rFonts w:ascii="Times New Roman" w:hAnsi="Times New Roman" w:cs="Times New Roman"/>
          <w:color w:val="212121"/>
          <w:shd w:val="clear" w:color="auto" w:fill="FFFFFF"/>
        </w:rPr>
        <w:t>Myopic Best Responding in Spatial Networks</w:t>
      </w:r>
      <w:r w:rsidR="000824ED" w:rsidRPr="000824ED">
        <w:rPr>
          <w:rFonts w:ascii="Times New Roman" w:hAnsi="Times New Roman" w:cs="Times New Roman"/>
          <w:color w:val="212121"/>
          <w:shd w:val="clear" w:color="auto" w:fill="FFFFFF"/>
        </w:rPr>
        <w:t>,” examine the effect of others’ spatial allocations on a myopic agent’s choice within a given spatial network, arguing myopic best responding leads to greater efficiency.</w:t>
      </w:r>
    </w:p>
    <w:p w14:paraId="43E847D9" w14:textId="274AC69B" w:rsidR="000824ED" w:rsidRPr="00A204CF" w:rsidRDefault="000824ED" w:rsidP="000824ED">
      <w:pPr>
        <w:rPr>
          <w:rFonts w:ascii="Times New Roman" w:eastAsia="Times New Roman" w:hAnsi="Times New Roman" w:cs="Times New Roman"/>
        </w:rPr>
      </w:pPr>
      <w:r w:rsidRPr="000824ED">
        <w:rPr>
          <w:rFonts w:ascii="Times New Roman" w:hAnsi="Times New Roman" w:cs="Times New Roman"/>
          <w:color w:val="212121"/>
          <w:shd w:val="clear" w:color="auto" w:fill="FFFFFF"/>
        </w:rPr>
        <w:tab/>
      </w:r>
      <w:r w:rsidR="00A204CF" w:rsidRPr="00A204CF">
        <w:rPr>
          <w:rFonts w:ascii="Times New Roman" w:eastAsia="Times New Roman" w:hAnsi="Times New Roman" w:cs="Times New Roman"/>
          <w:color w:val="212121"/>
          <w:shd w:val="clear" w:color="auto" w:fill="FFFFFF"/>
        </w:rPr>
        <w:t xml:space="preserve">Dix defines </w:t>
      </w:r>
      <w:r w:rsidR="00453341">
        <w:rPr>
          <w:rFonts w:ascii="Times New Roman" w:eastAsia="Times New Roman" w:hAnsi="Times New Roman" w:cs="Times New Roman"/>
          <w:color w:val="212121"/>
          <w:shd w:val="clear" w:color="auto" w:fill="FFFFFF"/>
        </w:rPr>
        <w:t>efficient spatial allocation as</w:t>
      </w:r>
      <w:r w:rsidR="00A204CF" w:rsidRPr="00A204CF">
        <w:rPr>
          <w:rFonts w:ascii="Times New Roman" w:eastAsia="Times New Roman" w:hAnsi="Times New Roman" w:cs="Times New Roman"/>
          <w:color w:val="212121"/>
          <w:shd w:val="clear" w:color="auto" w:fill="FFFFFF"/>
        </w:rPr>
        <w:t xml:space="preserve"> the average distance between</w:t>
      </w:r>
      <w:r w:rsidR="00453341">
        <w:rPr>
          <w:rFonts w:ascii="Times New Roman" w:eastAsia="Times New Roman" w:hAnsi="Times New Roman" w:cs="Times New Roman"/>
          <w:color w:val="212121"/>
          <w:shd w:val="clear" w:color="auto" w:fill="FFFFFF"/>
        </w:rPr>
        <w:t xml:space="preserve"> each node and the nearest agent </w:t>
      </w:r>
      <w:r w:rsidR="00A204CF" w:rsidRPr="00A204CF">
        <w:rPr>
          <w:rFonts w:ascii="Times New Roman" w:eastAsia="Times New Roman" w:hAnsi="Times New Roman" w:cs="Times New Roman"/>
          <w:color w:val="212121"/>
          <w:shd w:val="clear" w:color="auto" w:fill="FFFFFF"/>
        </w:rPr>
        <w:t>in the spatial network</w:t>
      </w:r>
      <w:r w:rsidR="00453341">
        <w:rPr>
          <w:rFonts w:ascii="Times New Roman" w:eastAsia="Times New Roman" w:hAnsi="Times New Roman" w:cs="Times New Roman"/>
          <w:color w:val="212121"/>
          <w:shd w:val="clear" w:color="auto" w:fill="FFFFFF"/>
        </w:rPr>
        <w:t>, as average distance decreases efficiency increases</w:t>
      </w:r>
      <w:r w:rsidRPr="000824ED">
        <w:rPr>
          <w:rFonts w:ascii="Times New Roman" w:hAnsi="Times New Roman" w:cs="Times New Roman"/>
          <w:color w:val="212121"/>
          <w:shd w:val="clear" w:color="auto" w:fill="FFFFFF"/>
        </w:rPr>
        <w:t xml:space="preserve">. Applied to a ride-sharing context, the expected wait-time for passengers would be inversely proportional to the average distance </w:t>
      </w:r>
      <w:r w:rsidR="00982C80">
        <w:rPr>
          <w:rFonts w:ascii="Times New Roman" w:hAnsi="Times New Roman" w:cs="Times New Roman"/>
          <w:color w:val="212121"/>
          <w:shd w:val="clear" w:color="auto" w:fill="FFFFFF"/>
        </w:rPr>
        <w:t>between passengers and the nearest driver</w:t>
      </w:r>
      <w:r w:rsidRPr="000824ED">
        <w:rPr>
          <w:rFonts w:ascii="Times New Roman" w:hAnsi="Times New Roman" w:cs="Times New Roman"/>
          <w:color w:val="212121"/>
          <w:shd w:val="clear" w:color="auto" w:fill="FFFFFF"/>
        </w:rPr>
        <w:t xml:space="preserve"> in an area. The researchers were able to model the complex, dynamic environment in which this unfolds as a sequential, static game of</w:t>
      </w:r>
      <w:r w:rsidR="00A204CF">
        <w:rPr>
          <w:rFonts w:ascii="Times New Roman" w:hAnsi="Times New Roman" w:cs="Times New Roman"/>
          <w:color w:val="212121"/>
          <w:shd w:val="clear" w:color="auto" w:fill="FFFFFF"/>
        </w:rPr>
        <w:t xml:space="preserve"> an</w:t>
      </w:r>
      <w:r w:rsidRPr="000824ED">
        <w:rPr>
          <w:rFonts w:ascii="Times New Roman" w:hAnsi="Times New Roman" w:cs="Times New Roman"/>
          <w:color w:val="212121"/>
          <w:shd w:val="clear" w:color="auto" w:fill="FFFFFF"/>
        </w:rPr>
        <w:t xml:space="preserve"> individual agent’s choices. The goal of the players is to maximize the size of their Voronoi diagram, a subset of the entire spatial network which changes in size depending on </w:t>
      </w:r>
      <w:r w:rsidR="00B64AB9">
        <w:rPr>
          <w:rFonts w:ascii="Times New Roman" w:hAnsi="Times New Roman" w:cs="Times New Roman"/>
          <w:color w:val="212121"/>
          <w:shd w:val="clear" w:color="auto" w:fill="FFFFFF"/>
        </w:rPr>
        <w:t xml:space="preserve">their distance from other drivers, akin to the </w:t>
      </w:r>
      <w:r w:rsidR="00C700D8">
        <w:rPr>
          <w:rFonts w:ascii="Times New Roman" w:hAnsi="Times New Roman" w:cs="Times New Roman"/>
          <w:color w:val="212121"/>
          <w:shd w:val="clear" w:color="auto" w:fill="FFFFFF"/>
        </w:rPr>
        <w:t>territory</w:t>
      </w:r>
      <w:r w:rsidR="00B64AB9">
        <w:rPr>
          <w:rFonts w:ascii="Times New Roman" w:hAnsi="Times New Roman" w:cs="Times New Roman"/>
          <w:color w:val="212121"/>
          <w:shd w:val="clear" w:color="auto" w:fill="FFFFFF"/>
        </w:rPr>
        <w:t xml:space="preserve"> of passengers a driver is responsible for</w:t>
      </w:r>
      <w:r w:rsidRPr="000824ED">
        <w:rPr>
          <w:rFonts w:ascii="Times New Roman" w:hAnsi="Times New Roman" w:cs="Times New Roman"/>
          <w:color w:val="212121"/>
          <w:shd w:val="clear" w:color="auto" w:fill="FFFFFF"/>
        </w:rPr>
        <w:t>. The game sought to test the behavio</w:t>
      </w:r>
      <w:r w:rsidR="00E32508">
        <w:rPr>
          <w:rFonts w:ascii="Times New Roman" w:hAnsi="Times New Roman" w:cs="Times New Roman"/>
          <w:color w:val="212121"/>
          <w:shd w:val="clear" w:color="auto" w:fill="FFFFFF"/>
        </w:rPr>
        <w:t>ral assumption that agents maximize</w:t>
      </w:r>
      <w:r w:rsidR="00E32508" w:rsidRPr="000824ED">
        <w:rPr>
          <w:rFonts w:ascii="Times New Roman" w:hAnsi="Times New Roman" w:cs="Times New Roman"/>
          <w:color w:val="212121"/>
          <w:shd w:val="clear" w:color="auto" w:fill="FFFFFF"/>
        </w:rPr>
        <w:t xml:space="preserve"> the</w:t>
      </w:r>
      <w:r w:rsidR="00E32508">
        <w:rPr>
          <w:rFonts w:ascii="Times New Roman" w:hAnsi="Times New Roman" w:cs="Times New Roman"/>
          <w:color w:val="212121"/>
          <w:shd w:val="clear" w:color="auto" w:fill="FFFFFF"/>
        </w:rPr>
        <w:t>ir</w:t>
      </w:r>
      <w:r w:rsidR="00E32508" w:rsidRPr="000824ED">
        <w:rPr>
          <w:rFonts w:ascii="Times New Roman" w:hAnsi="Times New Roman" w:cs="Times New Roman"/>
          <w:color w:val="212121"/>
          <w:shd w:val="clear" w:color="auto" w:fill="FFFFFF"/>
        </w:rPr>
        <w:t xml:space="preserve"> current payoff at the time of their choice</w:t>
      </w:r>
      <w:r w:rsidR="00E32508">
        <w:rPr>
          <w:rFonts w:ascii="Times New Roman" w:hAnsi="Times New Roman" w:cs="Times New Roman"/>
          <w:color w:val="212121"/>
          <w:shd w:val="clear" w:color="auto" w:fill="FFFFFF"/>
        </w:rPr>
        <w:t>,</w:t>
      </w:r>
      <w:r w:rsidR="00E32508" w:rsidRPr="000824ED">
        <w:rPr>
          <w:rFonts w:ascii="Times New Roman" w:hAnsi="Times New Roman" w:cs="Times New Roman"/>
          <w:color w:val="212121"/>
          <w:shd w:val="clear" w:color="auto" w:fill="FFFFFF"/>
        </w:rPr>
        <w:t xml:space="preserve"> </w:t>
      </w:r>
      <w:r w:rsidRPr="000824ED">
        <w:rPr>
          <w:rFonts w:ascii="Times New Roman" w:hAnsi="Times New Roman" w:cs="Times New Roman"/>
          <w:color w:val="212121"/>
          <w:shd w:val="clear" w:color="auto" w:fill="FFFFFF"/>
        </w:rPr>
        <w:t>myopically best respond</w:t>
      </w:r>
      <w:r w:rsidR="00E32508">
        <w:rPr>
          <w:rFonts w:ascii="Times New Roman" w:hAnsi="Times New Roman" w:cs="Times New Roman"/>
          <w:color w:val="212121"/>
          <w:shd w:val="clear" w:color="auto" w:fill="FFFFFF"/>
        </w:rPr>
        <w:t>ing,</w:t>
      </w:r>
      <w:r w:rsidRPr="000824ED">
        <w:rPr>
          <w:rFonts w:ascii="Times New Roman" w:hAnsi="Times New Roman" w:cs="Times New Roman"/>
          <w:color w:val="212121"/>
          <w:shd w:val="clear" w:color="auto" w:fill="FFFFFF"/>
        </w:rPr>
        <w:t xml:space="preserve"> when faced with allocation in dynamic spatial games. A</w:t>
      </w:r>
      <w:r w:rsidR="00A204CF">
        <w:rPr>
          <w:rFonts w:ascii="Times New Roman" w:hAnsi="Times New Roman" w:cs="Times New Roman"/>
          <w:color w:val="212121"/>
          <w:shd w:val="clear" w:color="auto" w:fill="FFFFFF"/>
        </w:rPr>
        <w:t>n individual’s</w:t>
      </w:r>
      <w:r w:rsidRPr="000824ED">
        <w:rPr>
          <w:rFonts w:ascii="Times New Roman" w:hAnsi="Times New Roman" w:cs="Times New Roman"/>
          <w:color w:val="212121"/>
          <w:shd w:val="clear" w:color="auto" w:fill="FFFFFF"/>
        </w:rPr>
        <w:t xml:space="preserve"> myopic best response </w:t>
      </w:r>
      <w:r w:rsidR="00E32508">
        <w:rPr>
          <w:rFonts w:ascii="Times New Roman" w:hAnsi="Times New Roman" w:cs="Times New Roman"/>
          <w:color w:val="212121"/>
          <w:shd w:val="clear" w:color="auto" w:fill="FFFFFF"/>
        </w:rPr>
        <w:t>is</w:t>
      </w:r>
      <w:r w:rsidRPr="000824ED">
        <w:rPr>
          <w:rFonts w:ascii="Times New Roman" w:hAnsi="Times New Roman" w:cs="Times New Roman"/>
          <w:color w:val="212121"/>
          <w:shd w:val="clear" w:color="auto" w:fill="FFFFFF"/>
        </w:rPr>
        <w:t xml:space="preserve"> a move that would </w:t>
      </w:r>
      <w:r w:rsidR="00D46F1B">
        <w:rPr>
          <w:rFonts w:ascii="Times New Roman" w:hAnsi="Times New Roman" w:cs="Times New Roman"/>
          <w:color w:val="212121"/>
          <w:shd w:val="clear" w:color="auto" w:fill="FFFFFF"/>
        </w:rPr>
        <w:t>maximally</w:t>
      </w:r>
      <w:r w:rsidR="00E32508">
        <w:rPr>
          <w:rFonts w:ascii="Times New Roman" w:hAnsi="Times New Roman" w:cs="Times New Roman"/>
          <w:color w:val="212121"/>
          <w:shd w:val="clear" w:color="auto" w:fill="FFFFFF"/>
        </w:rPr>
        <w:t xml:space="preserve"> </w:t>
      </w:r>
      <w:r w:rsidRPr="000824ED">
        <w:rPr>
          <w:rFonts w:ascii="Times New Roman" w:hAnsi="Times New Roman" w:cs="Times New Roman"/>
          <w:color w:val="212121"/>
          <w:shd w:val="clear" w:color="auto" w:fill="FFFFFF"/>
        </w:rPr>
        <w:t>increase their Voronoi diagram</w:t>
      </w:r>
      <w:r w:rsidR="00D46F1B">
        <w:rPr>
          <w:rFonts w:ascii="Times New Roman" w:hAnsi="Times New Roman" w:cs="Times New Roman"/>
          <w:color w:val="212121"/>
          <w:shd w:val="clear" w:color="auto" w:fill="FFFFFF"/>
        </w:rPr>
        <w:t xml:space="preserve"> in the current turn</w:t>
      </w:r>
      <w:r w:rsidRPr="000824ED">
        <w:rPr>
          <w:rFonts w:ascii="Times New Roman" w:hAnsi="Times New Roman" w:cs="Times New Roman"/>
          <w:color w:val="212121"/>
          <w:shd w:val="clear" w:color="auto" w:fill="FFFFFF"/>
        </w:rPr>
        <w:t>, without accounting for</w:t>
      </w:r>
      <w:r w:rsidR="00C2416F">
        <w:rPr>
          <w:rFonts w:ascii="Times New Roman" w:hAnsi="Times New Roman" w:cs="Times New Roman"/>
          <w:color w:val="212121"/>
          <w:shd w:val="clear" w:color="auto" w:fill="FFFFFF"/>
        </w:rPr>
        <w:t xml:space="preserve"> the</w:t>
      </w:r>
      <w:r w:rsidRPr="000824ED">
        <w:rPr>
          <w:rFonts w:ascii="Times New Roman" w:hAnsi="Times New Roman" w:cs="Times New Roman"/>
          <w:color w:val="212121"/>
          <w:shd w:val="clear" w:color="auto" w:fill="FFFFFF"/>
        </w:rPr>
        <w:t xml:space="preserve"> moves</w:t>
      </w:r>
      <w:r w:rsidR="00C2416F">
        <w:rPr>
          <w:rFonts w:ascii="Times New Roman" w:hAnsi="Times New Roman" w:cs="Times New Roman"/>
          <w:color w:val="212121"/>
          <w:shd w:val="clear" w:color="auto" w:fill="FFFFFF"/>
        </w:rPr>
        <w:t xml:space="preserve"> that</w:t>
      </w:r>
      <w:r w:rsidRPr="000824ED">
        <w:rPr>
          <w:rFonts w:ascii="Times New Roman" w:hAnsi="Times New Roman" w:cs="Times New Roman"/>
          <w:color w:val="212121"/>
          <w:shd w:val="clear" w:color="auto" w:fill="FFFFFF"/>
        </w:rPr>
        <w:t xml:space="preserve"> rival agents may make in the future. In complex games such as this, myopically best responding (MBR) will lead to suboptimal outcomes</w:t>
      </w:r>
      <w:r w:rsidR="00C2416F">
        <w:rPr>
          <w:rFonts w:ascii="Times New Roman" w:hAnsi="Times New Roman" w:cs="Times New Roman"/>
          <w:color w:val="212121"/>
          <w:shd w:val="clear" w:color="auto" w:fill="FFFFFF"/>
        </w:rPr>
        <w:t>,</w:t>
      </w:r>
      <w:r w:rsidRPr="000824ED">
        <w:rPr>
          <w:rFonts w:ascii="Times New Roman" w:hAnsi="Times New Roman" w:cs="Times New Roman"/>
          <w:color w:val="212121"/>
          <w:shd w:val="clear" w:color="auto" w:fill="FFFFFF"/>
        </w:rPr>
        <w:t xml:space="preserve"> but in the face of costs associated with sophisticated strategization, myopically best responding may be rational as a decision-making </w:t>
      </w:r>
      <w:r w:rsidR="00D46F1B">
        <w:rPr>
          <w:rFonts w:ascii="Times New Roman" w:hAnsi="Times New Roman" w:cs="Times New Roman"/>
          <w:color w:val="212121"/>
          <w:shd w:val="clear" w:color="auto" w:fill="FFFFFF"/>
        </w:rPr>
        <w:t>heuristic, especially in regard</w:t>
      </w:r>
      <w:r w:rsidRPr="000824ED">
        <w:rPr>
          <w:rFonts w:ascii="Times New Roman" w:hAnsi="Times New Roman" w:cs="Times New Roman"/>
          <w:color w:val="212121"/>
          <w:shd w:val="clear" w:color="auto" w:fill="FFFFFF"/>
        </w:rPr>
        <w:t xml:space="preserve"> to cost.</w:t>
      </w:r>
    </w:p>
    <w:p w14:paraId="2E6AEE11" w14:textId="77777777" w:rsidR="003E3D71" w:rsidRDefault="000824ED" w:rsidP="000824ED">
      <w:pPr>
        <w:ind w:firstLine="720"/>
        <w:rPr>
          <w:rFonts w:ascii="Times New Roman" w:hAnsi="Times New Roman" w:cs="Times New Roman"/>
          <w:color w:val="212121"/>
          <w:shd w:val="clear" w:color="auto" w:fill="FFFFFF"/>
        </w:rPr>
      </w:pPr>
      <w:r w:rsidRPr="000824ED">
        <w:rPr>
          <w:rFonts w:ascii="Times New Roman" w:hAnsi="Times New Roman" w:cs="Times New Roman"/>
          <w:color w:val="212121"/>
          <w:shd w:val="clear" w:color="auto" w:fill="FFFFFF"/>
        </w:rPr>
        <w:t xml:space="preserve">In the experiment, there are five players whose turn orders are selected randomly. In each trial players started from this distributed allocation </w:t>
      </w:r>
    </w:p>
    <w:p w14:paraId="2A7DA4C7" w14:textId="53F84AEF" w:rsidR="003E3D71" w:rsidRDefault="003E3D71" w:rsidP="00472DBD">
      <w:pPr>
        <w:ind w:firstLine="720"/>
        <w:jc w:val="center"/>
        <w:rPr>
          <w:rFonts w:ascii="Times New Roman" w:hAnsi="Times New Roman" w:cs="Times New Roman"/>
          <w:color w:val="212121"/>
          <w:shd w:val="clear" w:color="auto" w:fill="FFFFFF"/>
        </w:rPr>
      </w:pPr>
      <w:r>
        <w:rPr>
          <w:rFonts w:ascii="Times New Roman" w:hAnsi="Times New Roman" w:cs="Times New Roman"/>
          <w:noProof/>
          <w:color w:val="212121"/>
          <w:shd w:val="clear" w:color="auto" w:fill="FFFFFF"/>
        </w:rPr>
        <w:drawing>
          <wp:inline distT="0" distB="0" distL="0" distR="0" wp14:anchorId="19E5CE1E" wp14:editId="51FB63E5">
            <wp:extent cx="2945106" cy="2945106"/>
            <wp:effectExtent l="0" t="0" r="1905" b="1905"/>
            <wp:docPr id="1" name="Picture 1" descr="../Desktop/Equilibrium%20Articles/Initial%20Allocation%20(2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Equilibrium%20Articles/Initial%20Allocation%20(2auth).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6554" cy="2966554"/>
                    </a:xfrm>
                    <a:prstGeom prst="rect">
                      <a:avLst/>
                    </a:prstGeom>
                    <a:noFill/>
                    <a:ln>
                      <a:noFill/>
                    </a:ln>
                  </pic:spPr>
                </pic:pic>
              </a:graphicData>
            </a:graphic>
          </wp:inline>
        </w:drawing>
      </w:r>
    </w:p>
    <w:p w14:paraId="31273C9D" w14:textId="77777777" w:rsidR="003E3D71" w:rsidRDefault="003E3D71" w:rsidP="000824ED">
      <w:pPr>
        <w:ind w:firstLine="720"/>
        <w:rPr>
          <w:rFonts w:ascii="Times New Roman" w:hAnsi="Times New Roman" w:cs="Times New Roman"/>
          <w:color w:val="212121"/>
          <w:shd w:val="clear" w:color="auto" w:fill="FFFFFF"/>
        </w:rPr>
      </w:pPr>
    </w:p>
    <w:p w14:paraId="7E6C506D" w14:textId="77777777" w:rsidR="00C90406" w:rsidRDefault="000824ED" w:rsidP="00A260AC">
      <w:pPr>
        <w:rPr>
          <w:rFonts w:ascii="Times New Roman" w:hAnsi="Times New Roman" w:cs="Times New Roman"/>
          <w:color w:val="212121"/>
          <w:shd w:val="clear" w:color="auto" w:fill="FFFFFF"/>
        </w:rPr>
      </w:pPr>
      <w:r w:rsidRPr="000824ED">
        <w:rPr>
          <w:rFonts w:ascii="Times New Roman" w:hAnsi="Times New Roman" w:cs="Times New Roman"/>
          <w:color w:val="212121"/>
          <w:shd w:val="clear" w:color="auto" w:fill="FFFFFF"/>
        </w:rPr>
        <w:t xml:space="preserve">across a 21 x 21 grid. Players were allowed to make </w:t>
      </w:r>
      <w:r w:rsidR="002C4EB8">
        <w:rPr>
          <w:rFonts w:ascii="Times New Roman" w:hAnsi="Times New Roman" w:cs="Times New Roman"/>
          <w:color w:val="212121"/>
          <w:shd w:val="clear" w:color="auto" w:fill="FFFFFF"/>
        </w:rPr>
        <w:t>a single move during their turn in</w:t>
      </w:r>
      <w:r w:rsidRPr="000824ED">
        <w:rPr>
          <w:rFonts w:ascii="Times New Roman" w:hAnsi="Times New Roman" w:cs="Times New Roman"/>
          <w:color w:val="212121"/>
          <w:shd w:val="clear" w:color="auto" w:fill="FFFFFF"/>
        </w:rPr>
        <w:t xml:space="preserve"> one of four cardinal directions or to remain in the same location, </w:t>
      </w:r>
      <w:r w:rsidR="002C4EB8">
        <w:rPr>
          <w:rFonts w:ascii="Times New Roman" w:hAnsi="Times New Roman" w:cs="Times New Roman"/>
          <w:color w:val="212121"/>
          <w:shd w:val="clear" w:color="auto" w:fill="FFFFFF"/>
        </w:rPr>
        <w:t>only restricting</w:t>
      </w:r>
      <w:r w:rsidRPr="000824ED">
        <w:rPr>
          <w:rFonts w:ascii="Times New Roman" w:hAnsi="Times New Roman" w:cs="Times New Roman"/>
          <w:color w:val="212121"/>
          <w:shd w:val="clear" w:color="auto" w:fill="FFFFFF"/>
        </w:rPr>
        <w:t xml:space="preserve"> </w:t>
      </w:r>
      <w:r w:rsidR="00EE449A">
        <w:rPr>
          <w:rFonts w:ascii="Times New Roman" w:hAnsi="Times New Roman" w:cs="Times New Roman"/>
          <w:color w:val="212121"/>
          <w:shd w:val="clear" w:color="auto" w:fill="FFFFFF"/>
        </w:rPr>
        <w:t>movement to an occupied space</w:t>
      </w:r>
      <w:r w:rsidRPr="000824ED">
        <w:rPr>
          <w:rFonts w:ascii="Times New Roman" w:hAnsi="Times New Roman" w:cs="Times New Roman"/>
          <w:color w:val="212121"/>
          <w:shd w:val="clear" w:color="auto" w:fill="FFFFFF"/>
        </w:rPr>
        <w:t>. Additionally, eight non-moving computer players were positioned along the borders of the grid to model the presence of boundaries. Each player is provided a move calculator that calculate</w:t>
      </w:r>
      <w:r w:rsidR="00B43BB8">
        <w:rPr>
          <w:rFonts w:ascii="Times New Roman" w:hAnsi="Times New Roman" w:cs="Times New Roman"/>
          <w:color w:val="212121"/>
          <w:shd w:val="clear" w:color="auto" w:fill="FFFFFF"/>
        </w:rPr>
        <w:t>s</w:t>
      </w:r>
      <w:r w:rsidRPr="000824ED">
        <w:rPr>
          <w:rFonts w:ascii="Times New Roman" w:hAnsi="Times New Roman" w:cs="Times New Roman"/>
          <w:color w:val="212121"/>
          <w:shd w:val="clear" w:color="auto" w:fill="FFFFFF"/>
        </w:rPr>
        <w:t xml:space="preserve"> </w:t>
      </w:r>
      <w:r w:rsidR="00815546">
        <w:rPr>
          <w:rFonts w:ascii="Times New Roman" w:hAnsi="Times New Roman" w:cs="Times New Roman"/>
          <w:color w:val="212121"/>
          <w:shd w:val="clear" w:color="auto" w:fill="FFFFFF"/>
        </w:rPr>
        <w:t xml:space="preserve">a </w:t>
      </w:r>
      <w:r w:rsidRPr="000824ED">
        <w:rPr>
          <w:rFonts w:ascii="Times New Roman" w:hAnsi="Times New Roman" w:cs="Times New Roman"/>
          <w:color w:val="212121"/>
          <w:shd w:val="clear" w:color="auto" w:fill="FFFFFF"/>
        </w:rPr>
        <w:t>Voronoi diagram that could account for other players’ moves</w:t>
      </w:r>
      <w:r w:rsidR="00815546">
        <w:rPr>
          <w:rFonts w:ascii="Times New Roman" w:hAnsi="Times New Roman" w:cs="Times New Roman"/>
          <w:color w:val="212121"/>
          <w:shd w:val="clear" w:color="auto" w:fill="FFFFFF"/>
        </w:rPr>
        <w:t>. This calculator was provided for two reasons</w:t>
      </w:r>
      <w:r w:rsidRPr="000824ED">
        <w:rPr>
          <w:rFonts w:ascii="Times New Roman" w:hAnsi="Times New Roman" w:cs="Times New Roman"/>
          <w:color w:val="212121"/>
          <w:shd w:val="clear" w:color="auto" w:fill="FFFFFF"/>
        </w:rPr>
        <w:t>: calculating Voronoi diagram area is time-consuming</w:t>
      </w:r>
      <w:r w:rsidR="00E738D2">
        <w:rPr>
          <w:rFonts w:ascii="Times New Roman" w:hAnsi="Times New Roman" w:cs="Times New Roman"/>
          <w:color w:val="212121"/>
          <w:shd w:val="clear" w:color="auto" w:fill="FFFFFF"/>
        </w:rPr>
        <w:t xml:space="preserve"> for players</w:t>
      </w:r>
      <w:r w:rsidRPr="000824ED">
        <w:rPr>
          <w:rFonts w:ascii="Times New Roman" w:hAnsi="Times New Roman" w:cs="Times New Roman"/>
          <w:color w:val="212121"/>
          <w:shd w:val="clear" w:color="auto" w:fill="FFFFFF"/>
        </w:rPr>
        <w:t xml:space="preserve"> and </w:t>
      </w:r>
      <w:r w:rsidR="00815546">
        <w:rPr>
          <w:rFonts w:ascii="Times New Roman" w:hAnsi="Times New Roman" w:cs="Times New Roman"/>
          <w:color w:val="212121"/>
          <w:shd w:val="clear" w:color="auto" w:fill="FFFFFF"/>
        </w:rPr>
        <w:t xml:space="preserve">providing </w:t>
      </w:r>
      <w:r w:rsidR="00E738D2">
        <w:rPr>
          <w:rFonts w:ascii="Times New Roman" w:hAnsi="Times New Roman" w:cs="Times New Roman"/>
          <w:color w:val="212121"/>
          <w:shd w:val="clear" w:color="auto" w:fill="FFFFFF"/>
        </w:rPr>
        <w:t>observable insights into players’ thought-processes</w:t>
      </w:r>
      <w:r w:rsidR="00815546">
        <w:rPr>
          <w:rFonts w:ascii="Times New Roman" w:hAnsi="Times New Roman" w:cs="Times New Roman"/>
          <w:color w:val="212121"/>
          <w:shd w:val="clear" w:color="auto" w:fill="FFFFFF"/>
        </w:rPr>
        <w:t xml:space="preserve"> </w:t>
      </w:r>
      <w:r w:rsidR="00E738D2">
        <w:rPr>
          <w:rFonts w:ascii="Times New Roman" w:hAnsi="Times New Roman" w:cs="Times New Roman"/>
          <w:color w:val="212121"/>
          <w:shd w:val="clear" w:color="auto" w:fill="FFFFFF"/>
        </w:rPr>
        <w:t xml:space="preserve">for the </w:t>
      </w:r>
      <w:r w:rsidR="00815546">
        <w:rPr>
          <w:rFonts w:ascii="Times New Roman" w:hAnsi="Times New Roman" w:cs="Times New Roman"/>
          <w:color w:val="212121"/>
          <w:shd w:val="clear" w:color="auto" w:fill="FFFFFF"/>
        </w:rPr>
        <w:t xml:space="preserve">experimenters </w:t>
      </w:r>
      <w:r w:rsidR="00E738D2">
        <w:rPr>
          <w:rFonts w:ascii="Times New Roman" w:hAnsi="Times New Roman" w:cs="Times New Roman"/>
          <w:color w:val="212121"/>
          <w:shd w:val="clear" w:color="auto" w:fill="FFFFFF"/>
        </w:rPr>
        <w:t>as the game evolves by recording the calculations they made</w:t>
      </w:r>
      <w:r w:rsidRPr="000824ED">
        <w:rPr>
          <w:rFonts w:ascii="Times New Roman" w:hAnsi="Times New Roman" w:cs="Times New Roman"/>
          <w:color w:val="212121"/>
          <w:shd w:val="clear" w:color="auto" w:fill="FFFFFF"/>
        </w:rPr>
        <w:t>. Turns are limited to two minutes. A move’s flow payment is calculated as the area of the player’s Voronoi region after their move is mad</w:t>
      </w:r>
      <w:r w:rsidR="009F26E1">
        <w:rPr>
          <w:rFonts w:ascii="Times New Roman" w:hAnsi="Times New Roman" w:cs="Times New Roman"/>
          <w:color w:val="212121"/>
          <w:shd w:val="clear" w:color="auto" w:fill="FFFFFF"/>
        </w:rPr>
        <w:t>e. The experimenters rank order</w:t>
      </w:r>
      <w:r w:rsidRPr="000824ED">
        <w:rPr>
          <w:rFonts w:ascii="Times New Roman" w:hAnsi="Times New Roman" w:cs="Times New Roman"/>
          <w:color w:val="212121"/>
          <w:shd w:val="clear" w:color="auto" w:fill="FFFFFF"/>
        </w:rPr>
        <w:t xml:space="preserve"> available moves, FP1 being the move option with the highest flow payment. </w:t>
      </w:r>
    </w:p>
    <w:p w14:paraId="3B8064B8" w14:textId="77777777" w:rsidR="00C90406" w:rsidRDefault="000824ED" w:rsidP="00C90406">
      <w:pPr>
        <w:ind w:firstLine="720"/>
        <w:rPr>
          <w:rFonts w:ascii="Times New Roman" w:hAnsi="Times New Roman" w:cs="Times New Roman"/>
          <w:color w:val="212121"/>
          <w:shd w:val="clear" w:color="auto" w:fill="FFFFFF"/>
        </w:rPr>
      </w:pPr>
      <w:r w:rsidRPr="000824ED">
        <w:rPr>
          <w:rFonts w:ascii="Times New Roman" w:hAnsi="Times New Roman" w:cs="Times New Roman"/>
          <w:color w:val="212121"/>
          <w:shd w:val="clear" w:color="auto" w:fill="FFFFFF"/>
        </w:rPr>
        <w:t xml:space="preserve">The first result of their research was that players chose the FP1 move 60% of the time, rising to 63% when excluding the first ten minutes of the game. </w:t>
      </w:r>
      <w:r w:rsidR="00E738D2">
        <w:rPr>
          <w:rFonts w:ascii="Times New Roman" w:hAnsi="Times New Roman" w:cs="Times New Roman"/>
          <w:color w:val="212121"/>
          <w:shd w:val="clear" w:color="auto" w:fill="FFFFFF"/>
        </w:rPr>
        <w:t>While this could be</w:t>
      </w:r>
      <w:r w:rsidRPr="000824ED">
        <w:rPr>
          <w:rFonts w:ascii="Times New Roman" w:hAnsi="Times New Roman" w:cs="Times New Roman"/>
          <w:color w:val="212121"/>
          <w:shd w:val="clear" w:color="auto" w:fill="FFFFFF"/>
        </w:rPr>
        <w:t xml:space="preserve"> attributed to the majority of players </w:t>
      </w:r>
      <w:r w:rsidR="00F560CE">
        <w:rPr>
          <w:rFonts w:ascii="Times New Roman" w:hAnsi="Times New Roman" w:cs="Times New Roman"/>
          <w:color w:val="212121"/>
          <w:shd w:val="clear" w:color="auto" w:fill="FFFFFF"/>
        </w:rPr>
        <w:t>operating</w:t>
      </w:r>
      <w:r w:rsidRPr="000824ED">
        <w:rPr>
          <w:rFonts w:ascii="Times New Roman" w:hAnsi="Times New Roman" w:cs="Times New Roman"/>
          <w:color w:val="212121"/>
          <w:shd w:val="clear" w:color="auto" w:fill="FFFFFF"/>
        </w:rPr>
        <w:t xml:space="preserve"> under the MBR assumption, it as likely be indicative of sophisticated consideration of later moves or luck. Upon further examination of player’s calculations who made the FP1 move, very </w:t>
      </w:r>
      <w:r w:rsidR="00B43BB8">
        <w:rPr>
          <w:rFonts w:ascii="Times New Roman" w:hAnsi="Times New Roman" w:cs="Times New Roman"/>
          <w:color w:val="212121"/>
          <w:shd w:val="clear" w:color="auto" w:fill="FFFFFF"/>
        </w:rPr>
        <w:t>few</w:t>
      </w:r>
      <w:r w:rsidRPr="000824ED">
        <w:rPr>
          <w:rFonts w:ascii="Times New Roman" w:hAnsi="Times New Roman" w:cs="Times New Roman"/>
          <w:color w:val="212121"/>
          <w:shd w:val="clear" w:color="auto" w:fill="FFFFFF"/>
        </w:rPr>
        <w:t xml:space="preserve"> calculations were made that would suggest higher-order reasoning and most calculations were made on a player’s turn, only </w:t>
      </w:r>
      <w:r w:rsidR="00F560CE">
        <w:rPr>
          <w:rFonts w:ascii="Times New Roman" w:hAnsi="Times New Roman" w:cs="Times New Roman"/>
          <w:color w:val="212121"/>
          <w:shd w:val="clear" w:color="auto" w:fill="FFFFFF"/>
        </w:rPr>
        <w:t>evaluating</w:t>
      </w:r>
      <w:r w:rsidRPr="000824ED">
        <w:rPr>
          <w:rFonts w:ascii="Times New Roman" w:hAnsi="Times New Roman" w:cs="Times New Roman"/>
          <w:color w:val="212121"/>
          <w:shd w:val="clear" w:color="auto" w:fill="FFFFFF"/>
        </w:rPr>
        <w:t xml:space="preserve"> their movement</w:t>
      </w:r>
      <w:r w:rsidR="00F560CE">
        <w:rPr>
          <w:rFonts w:ascii="Times New Roman" w:hAnsi="Times New Roman" w:cs="Times New Roman"/>
          <w:color w:val="212121"/>
          <w:shd w:val="clear" w:color="auto" w:fill="FFFFFF"/>
        </w:rPr>
        <w:t xml:space="preserve"> options</w:t>
      </w:r>
      <w:r w:rsidRPr="000824ED">
        <w:rPr>
          <w:rFonts w:ascii="Times New Roman" w:hAnsi="Times New Roman" w:cs="Times New Roman"/>
          <w:color w:val="212121"/>
          <w:shd w:val="clear" w:color="auto" w:fill="FFFFFF"/>
        </w:rPr>
        <w:t xml:space="preserve"> and </w:t>
      </w:r>
      <w:r w:rsidR="00F560CE">
        <w:rPr>
          <w:rFonts w:ascii="Times New Roman" w:hAnsi="Times New Roman" w:cs="Times New Roman"/>
          <w:color w:val="212121"/>
          <w:shd w:val="clear" w:color="auto" w:fill="FFFFFF"/>
        </w:rPr>
        <w:t>opponents’ current static allocation</w:t>
      </w:r>
      <w:r w:rsidRPr="000824ED">
        <w:rPr>
          <w:rFonts w:ascii="Times New Roman" w:hAnsi="Times New Roman" w:cs="Times New Roman"/>
          <w:color w:val="212121"/>
          <w:shd w:val="clear" w:color="auto" w:fill="FFFFFF"/>
        </w:rPr>
        <w:t>. Another illuminating finding was in 82% of player calculation</w:t>
      </w:r>
      <w:r w:rsidR="00B43BB8">
        <w:rPr>
          <w:rFonts w:ascii="Times New Roman" w:hAnsi="Times New Roman" w:cs="Times New Roman"/>
          <w:color w:val="212121"/>
          <w:shd w:val="clear" w:color="auto" w:fill="FFFFFF"/>
        </w:rPr>
        <w:t>s,</w:t>
      </w:r>
      <w:r w:rsidRPr="000824ED">
        <w:rPr>
          <w:rFonts w:ascii="Times New Roman" w:hAnsi="Times New Roman" w:cs="Times New Roman"/>
          <w:color w:val="212121"/>
          <w:shd w:val="clear" w:color="auto" w:fill="FFFFFF"/>
        </w:rPr>
        <w:t xml:space="preserve"> opponents were in the same place as the current iteration of the experiment, with 76% of calculations being solely move options. This reveals that most of the time players were not acknowledging potential moves opponents could make in the future, instead focusing on their own move options for the iteration during their turn. Experimenters next found that 92% of calculations made by players were within one space of that player’s current position</w:t>
      </w:r>
      <w:r w:rsidR="00F560CE">
        <w:rPr>
          <w:rFonts w:ascii="Times New Roman" w:hAnsi="Times New Roman" w:cs="Times New Roman"/>
          <w:color w:val="212121"/>
          <w:shd w:val="clear" w:color="auto" w:fill="FFFFFF"/>
        </w:rPr>
        <w:t>. T</w:t>
      </w:r>
      <w:r w:rsidRPr="000824ED">
        <w:rPr>
          <w:rFonts w:ascii="Times New Roman" w:hAnsi="Times New Roman" w:cs="Times New Roman"/>
          <w:color w:val="212121"/>
          <w:shd w:val="clear" w:color="auto" w:fill="FFFFFF"/>
        </w:rPr>
        <w:t>his is used as jumping off point to analyze non-FP1 moves and whether those moves were suggestive of higher-order reasoning on opponent choices. Par</w:t>
      </w:r>
      <w:r w:rsidR="00A260AC">
        <w:rPr>
          <w:rFonts w:ascii="Times New Roman" w:hAnsi="Times New Roman" w:cs="Times New Roman"/>
          <w:color w:val="212121"/>
          <w:shd w:val="clear" w:color="auto" w:fill="FFFFFF"/>
        </w:rPr>
        <w:t xml:space="preserve">sing moves players have made into an interval of all moves made between a player’s current turn and previous turn </w:t>
      </w:r>
      <w:r w:rsidRPr="000824ED">
        <w:rPr>
          <w:rFonts w:ascii="Times New Roman" w:hAnsi="Times New Roman" w:cs="Times New Roman"/>
          <w:color w:val="212121"/>
          <w:shd w:val="clear" w:color="auto" w:fill="FFFFFF"/>
        </w:rPr>
        <w:t>reveals when the FP1 move was not ch</w:t>
      </w:r>
      <w:r w:rsidR="00F560CE">
        <w:rPr>
          <w:rFonts w:ascii="Times New Roman" w:hAnsi="Times New Roman" w:cs="Times New Roman"/>
          <w:color w:val="212121"/>
          <w:shd w:val="clear" w:color="auto" w:fill="FFFFFF"/>
        </w:rPr>
        <w:t>osen. I</w:t>
      </w:r>
      <w:r w:rsidRPr="000824ED">
        <w:rPr>
          <w:rFonts w:ascii="Times New Roman" w:hAnsi="Times New Roman" w:cs="Times New Roman"/>
          <w:color w:val="212121"/>
          <w:shd w:val="clear" w:color="auto" w:fill="FFFFFF"/>
        </w:rPr>
        <w:t xml:space="preserve">t was often not calculated, more indicative of a failure to consider this move rather than higher-order thinking. </w:t>
      </w:r>
    </w:p>
    <w:p w14:paraId="41192912" w14:textId="47A4ACAD" w:rsidR="000824ED" w:rsidRDefault="00BF7B3C" w:rsidP="00C90406">
      <w:pPr>
        <w:ind w:firstLine="720"/>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The researchers further partitioned non-FP1 moves</w:t>
      </w:r>
      <w:r w:rsidR="00A260AC">
        <w:rPr>
          <w:rFonts w:ascii="Times New Roman" w:hAnsi="Times New Roman" w:cs="Times New Roman"/>
          <w:color w:val="212121"/>
          <w:shd w:val="clear" w:color="auto" w:fill="FFFFFF"/>
        </w:rPr>
        <w:t xml:space="preserve"> into two different types, Highest Scoring Calculated Move (HSCM) and Suggestive of Higher-order Reasoning (SHO). The HSCM is a move in which the player did not calculate the FP1 move, instead choosing the highest scoring option of those they calculated as their move. On the other hand, SHO moves refer to those players that calculated the FP1 move and the move chosen, this is suggestive of Higher-order Reasoning because it reveals that despite knowing their best move they chose otherwise which could imply other strategic considerations were at play when they opted against the FP1 move</w:t>
      </w:r>
      <w:r w:rsidR="000824ED" w:rsidRPr="000824ED">
        <w:rPr>
          <w:rFonts w:ascii="Times New Roman" w:hAnsi="Times New Roman" w:cs="Times New Roman"/>
          <w:color w:val="212121"/>
          <w:shd w:val="clear" w:color="auto" w:fill="FFFFFF"/>
        </w:rPr>
        <w:t>. Player</w:t>
      </w:r>
      <w:r w:rsidR="00A260AC">
        <w:rPr>
          <w:rFonts w:ascii="Times New Roman" w:hAnsi="Times New Roman" w:cs="Times New Roman"/>
          <w:color w:val="212121"/>
          <w:shd w:val="clear" w:color="auto" w:fill="FFFFFF"/>
        </w:rPr>
        <w:t xml:space="preserve"> behavior when selecting the HSC</w:t>
      </w:r>
      <w:r w:rsidR="000824ED" w:rsidRPr="000824ED">
        <w:rPr>
          <w:rFonts w:ascii="Times New Roman" w:hAnsi="Times New Roman" w:cs="Times New Roman"/>
          <w:color w:val="212121"/>
          <w:shd w:val="clear" w:color="auto" w:fill="FFFFFF"/>
        </w:rPr>
        <w:t>M supports the myopic best responding assumption, choosing the best move they could for those they thought of. Of the 307 SHO moves (2178 total moves) players were correctly using the calculator when not selecting the FP1 move. Interestingly, 24% of all SHO moves were selected by less than 7% of players which was interpreted as an intuitive move by the players when flow payments between moves were close. When comparing average flow payment differences between SHO and FP1 moves (.82 grid squares) versus that of non-SHO, non-FP1 moves and their FP1 alternative (</w:t>
      </w:r>
      <w:r w:rsidR="00A932BF">
        <w:rPr>
          <w:rFonts w:ascii="Times New Roman" w:hAnsi="Times New Roman" w:cs="Times New Roman"/>
          <w:color w:val="212121"/>
          <w:shd w:val="clear" w:color="auto" w:fill="FFFFFF"/>
        </w:rPr>
        <w:t>1.74 grid squares)</w:t>
      </w:r>
      <w:r w:rsidR="000824ED" w:rsidRPr="000824ED">
        <w:rPr>
          <w:rFonts w:ascii="Times New Roman" w:hAnsi="Times New Roman" w:cs="Times New Roman"/>
          <w:color w:val="212121"/>
          <w:shd w:val="clear" w:color="auto" w:fill="FFFFFF"/>
        </w:rPr>
        <w:t xml:space="preserve"> the former was found to be significantly smaller than the latter, further supporting the thought that players rely on intuition and higher-order reasoning when evaluating similar flow payments. Despite indications of wider considerations in SHO moves there was not a significant relationship between number of SHO moves and session scores although number of FP1 moves and session score were found to have a significant positive relationship. Clearly FP1 moves were </w:t>
      </w:r>
      <w:r w:rsidR="000824ED" w:rsidRPr="000824ED">
        <w:rPr>
          <w:rFonts w:ascii="Times New Roman" w:hAnsi="Times New Roman" w:cs="Times New Roman"/>
          <w:color w:val="212121"/>
          <w:shd w:val="clear" w:color="auto" w:fill="FFFFFF"/>
        </w:rPr>
        <w:lastRenderedPageBreak/>
        <w:t>the best move</w:t>
      </w:r>
      <w:r w:rsidR="00A932BF">
        <w:rPr>
          <w:rFonts w:ascii="Times New Roman" w:hAnsi="Times New Roman" w:cs="Times New Roman"/>
          <w:color w:val="212121"/>
          <w:shd w:val="clear" w:color="auto" w:fill="FFFFFF"/>
        </w:rPr>
        <w:t xml:space="preserve"> </w:t>
      </w:r>
      <w:r w:rsidR="000824ED" w:rsidRPr="000824ED">
        <w:rPr>
          <w:rFonts w:ascii="Times New Roman" w:hAnsi="Times New Roman" w:cs="Times New Roman"/>
          <w:color w:val="212121"/>
          <w:shd w:val="clear" w:color="auto" w:fill="FFFFFF"/>
        </w:rPr>
        <w:t>set</w:t>
      </w:r>
      <w:r w:rsidR="00A932BF">
        <w:rPr>
          <w:rFonts w:ascii="Times New Roman" w:hAnsi="Times New Roman" w:cs="Times New Roman"/>
          <w:color w:val="212121"/>
          <w:shd w:val="clear" w:color="auto" w:fill="FFFFFF"/>
        </w:rPr>
        <w:t>,</w:t>
      </w:r>
      <w:r w:rsidR="000824ED" w:rsidRPr="000824ED">
        <w:rPr>
          <w:rFonts w:ascii="Times New Roman" w:hAnsi="Times New Roman" w:cs="Times New Roman"/>
          <w:color w:val="212121"/>
          <w:shd w:val="clear" w:color="auto" w:fill="FFFFFF"/>
        </w:rPr>
        <w:t xml:space="preserve"> but researchers found that the </w:t>
      </w:r>
      <w:r w:rsidR="00A932BF">
        <w:rPr>
          <w:rFonts w:ascii="Times New Roman" w:hAnsi="Times New Roman" w:cs="Times New Roman"/>
          <w:color w:val="212121"/>
          <w:shd w:val="clear" w:color="auto" w:fill="FFFFFF"/>
        </w:rPr>
        <w:t>closer</w:t>
      </w:r>
      <w:r w:rsidR="000824ED" w:rsidRPr="000824ED">
        <w:rPr>
          <w:rFonts w:ascii="Times New Roman" w:hAnsi="Times New Roman" w:cs="Times New Roman"/>
          <w:color w:val="212121"/>
          <w:shd w:val="clear" w:color="auto" w:fill="FFFFFF"/>
        </w:rPr>
        <w:t xml:space="preserve"> players </w:t>
      </w:r>
      <w:r w:rsidR="00A932BF">
        <w:rPr>
          <w:rFonts w:ascii="Times New Roman" w:hAnsi="Times New Roman" w:cs="Times New Roman"/>
          <w:color w:val="212121"/>
          <w:shd w:val="clear" w:color="auto" w:fill="FFFFFF"/>
        </w:rPr>
        <w:t xml:space="preserve">adhered to the </w:t>
      </w:r>
      <w:r w:rsidR="000824ED" w:rsidRPr="000824ED">
        <w:rPr>
          <w:rFonts w:ascii="Times New Roman" w:hAnsi="Times New Roman" w:cs="Times New Roman"/>
          <w:color w:val="212121"/>
          <w:shd w:val="clear" w:color="auto" w:fill="FFFFFF"/>
        </w:rPr>
        <w:t>MBR assumption, the better they performed w</w:t>
      </w:r>
      <w:r w:rsidR="00A932BF">
        <w:rPr>
          <w:rFonts w:ascii="Times New Roman" w:hAnsi="Times New Roman" w:cs="Times New Roman"/>
          <w:color w:val="212121"/>
          <w:shd w:val="clear" w:color="auto" w:fill="FFFFFF"/>
        </w:rPr>
        <w:t xml:space="preserve">ithin the experiment, given </w:t>
      </w:r>
      <w:r w:rsidR="000824ED" w:rsidRPr="000824ED">
        <w:rPr>
          <w:rFonts w:ascii="Times New Roman" w:hAnsi="Times New Roman" w:cs="Times New Roman"/>
          <w:color w:val="212121"/>
          <w:shd w:val="clear" w:color="auto" w:fill="FFFFFF"/>
        </w:rPr>
        <w:t>that they only played against similar players and not against sophisticated agents. Although this experiment does not definitively prove players myopically best respond, there is no significant evidence providing support that players violate the MBR assumption.</w:t>
      </w:r>
    </w:p>
    <w:p w14:paraId="2F1669E9" w14:textId="77777777" w:rsidR="00EE449A" w:rsidRPr="00A260AC" w:rsidRDefault="00EE449A" w:rsidP="00A260AC">
      <w:pPr>
        <w:rPr>
          <w:rFonts w:ascii="Times New Roman" w:hAnsi="Times New Roman" w:cs="Times New Roman"/>
          <w:color w:val="212121"/>
          <w:shd w:val="clear" w:color="auto" w:fill="FFFFFF"/>
        </w:rPr>
      </w:pPr>
    </w:p>
    <w:p w14:paraId="6184AD00" w14:textId="7DC2024F" w:rsidR="00EE449A" w:rsidRDefault="00EE449A" w:rsidP="007135AF">
      <w:pPr>
        <w:ind w:firstLine="720"/>
        <w:rPr>
          <w:rFonts w:ascii="Times New Roman" w:hAnsi="Times New Roman" w:cs="Times New Roman"/>
          <w:color w:val="212121"/>
          <w:shd w:val="clear" w:color="auto" w:fill="FFFFFF"/>
        </w:rPr>
      </w:pPr>
      <w:r>
        <w:rPr>
          <w:rFonts w:ascii="Times New Roman" w:hAnsi="Times New Roman" w:cs="Times New Roman"/>
          <w:noProof/>
          <w:color w:val="212121"/>
          <w:shd w:val="clear" w:color="auto" w:fill="FFFFFF"/>
        </w:rPr>
        <w:drawing>
          <wp:inline distT="0" distB="0" distL="0" distR="0" wp14:anchorId="16DF801F" wp14:editId="1742DCA3">
            <wp:extent cx="4965796" cy="3649337"/>
            <wp:effectExtent l="0" t="0" r="0" b="8890"/>
            <wp:docPr id="2" name="Picture 2" descr="Oldenburg%20transportation%20netow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denburg%20transportation%20netowr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2057" cy="3690683"/>
                    </a:xfrm>
                    <a:prstGeom prst="rect">
                      <a:avLst/>
                    </a:prstGeom>
                    <a:noFill/>
                    <a:ln>
                      <a:noFill/>
                    </a:ln>
                  </pic:spPr>
                </pic:pic>
              </a:graphicData>
            </a:graphic>
          </wp:inline>
        </w:drawing>
      </w:r>
    </w:p>
    <w:p w14:paraId="3EF2F8CA" w14:textId="1A0E4662" w:rsidR="004C23F3" w:rsidRPr="005C5401" w:rsidRDefault="000824ED" w:rsidP="00EE449A">
      <w:pPr>
        <w:ind w:firstLine="720"/>
        <w:rPr>
          <w:rFonts w:ascii="Times New Roman" w:hAnsi="Times New Roman" w:cs="Times New Roman"/>
          <w:color w:val="212121"/>
          <w:shd w:val="clear" w:color="auto" w:fill="FFFFFF"/>
        </w:rPr>
      </w:pPr>
      <w:r w:rsidRPr="000824ED">
        <w:rPr>
          <w:rFonts w:ascii="Times New Roman" w:hAnsi="Times New Roman" w:cs="Times New Roman"/>
          <w:color w:val="212121"/>
          <w:shd w:val="clear" w:color="auto" w:fill="FFFFFF"/>
        </w:rPr>
        <w:t xml:space="preserve">In application, myopically best responding is perhaps the most useful avenue of choice given the low stakes in ride-sharing apps and the high cost relative to benefit of reasoning at a higher level. </w:t>
      </w:r>
      <w:r w:rsidR="00EE449A">
        <w:rPr>
          <w:rFonts w:ascii="Times New Roman" w:hAnsi="Times New Roman" w:cs="Times New Roman"/>
          <w:color w:val="212121"/>
          <w:shd w:val="clear" w:color="auto" w:fill="FFFFFF"/>
        </w:rPr>
        <w:t xml:space="preserve">To evaluate the efficacy of myopic best responding, researchers tested MBR behavior in a transportation network model built from a real-life city. </w:t>
      </w:r>
      <w:r w:rsidRPr="000824ED">
        <w:rPr>
          <w:rFonts w:ascii="Times New Roman" w:hAnsi="Times New Roman" w:cs="Times New Roman"/>
          <w:color w:val="212121"/>
          <w:shd w:val="clear" w:color="auto" w:fill="FFFFFF"/>
        </w:rPr>
        <w:t xml:space="preserve">First reconstructing the </w:t>
      </w:r>
      <w:r w:rsidR="005D226A">
        <w:rPr>
          <w:rFonts w:ascii="Times New Roman" w:hAnsi="Times New Roman" w:cs="Times New Roman"/>
          <w:color w:val="212121"/>
          <w:shd w:val="clear" w:color="auto" w:fill="FFFFFF"/>
        </w:rPr>
        <w:t xml:space="preserve">transportation network of the </w:t>
      </w:r>
      <w:r w:rsidRPr="000824ED">
        <w:rPr>
          <w:rFonts w:ascii="Times New Roman" w:hAnsi="Times New Roman" w:cs="Times New Roman"/>
          <w:color w:val="212121"/>
          <w:shd w:val="clear" w:color="auto" w:fill="FFFFFF"/>
        </w:rPr>
        <w:t>German city of Oldenburg as a spatial network, then creating an Agent-Based Model</w:t>
      </w:r>
      <w:r w:rsidR="005D226A">
        <w:rPr>
          <w:rFonts w:ascii="Times New Roman" w:hAnsi="Times New Roman" w:cs="Times New Roman"/>
          <w:color w:val="212121"/>
          <w:shd w:val="clear" w:color="auto" w:fill="FFFFFF"/>
        </w:rPr>
        <w:t xml:space="preserve"> </w:t>
      </w:r>
      <w:r w:rsidR="007135AF">
        <w:rPr>
          <w:rFonts w:ascii="Times New Roman" w:hAnsi="Times New Roman" w:cs="Times New Roman"/>
          <w:color w:val="212121"/>
          <w:shd w:val="clear" w:color="auto" w:fill="FFFFFF"/>
        </w:rPr>
        <w:t xml:space="preserve">of myopic best response </w:t>
      </w:r>
      <w:r w:rsidR="005D226A">
        <w:rPr>
          <w:rFonts w:ascii="Times New Roman" w:hAnsi="Times New Roman" w:cs="Times New Roman"/>
          <w:color w:val="212121"/>
          <w:shd w:val="clear" w:color="auto" w:fill="FFFFFF"/>
        </w:rPr>
        <w:t>trained on the data collected from the games previously played by participants</w:t>
      </w:r>
      <w:r w:rsidR="007135AF">
        <w:rPr>
          <w:rFonts w:ascii="Times New Roman" w:hAnsi="Times New Roman" w:cs="Times New Roman"/>
          <w:color w:val="212121"/>
          <w:shd w:val="clear" w:color="auto" w:fill="FFFFFF"/>
        </w:rPr>
        <w:t xml:space="preserve"> </w:t>
      </w:r>
      <w:r w:rsidRPr="000824ED">
        <w:rPr>
          <w:rFonts w:ascii="Times New Roman" w:hAnsi="Times New Roman" w:cs="Times New Roman"/>
          <w:color w:val="212121"/>
          <w:shd w:val="clear" w:color="auto" w:fill="FFFFFF"/>
        </w:rPr>
        <w:t>were able to reduce spatial inefficiency within the model from 2.02 in the initial allocation to .55 in the final</w:t>
      </w:r>
      <w:r w:rsidR="005C5401">
        <w:rPr>
          <w:rFonts w:ascii="Times New Roman" w:hAnsi="Times New Roman" w:cs="Times New Roman"/>
          <w:color w:val="212121"/>
          <w:shd w:val="clear" w:color="auto" w:fill="FFFFFF"/>
        </w:rPr>
        <w:t xml:space="preserve"> allocation, after 5,000 i</w:t>
      </w:r>
      <w:r w:rsidR="00947E1E">
        <w:rPr>
          <w:rFonts w:ascii="Times New Roman" w:hAnsi="Times New Roman" w:cs="Times New Roman"/>
          <w:color w:val="212121"/>
          <w:shd w:val="clear" w:color="auto" w:fill="FFFFFF"/>
        </w:rPr>
        <w:t>terations. Although nearly a 75</w:t>
      </w:r>
      <w:r w:rsidR="005C5401">
        <w:rPr>
          <w:rFonts w:ascii="Times New Roman" w:hAnsi="Times New Roman" w:cs="Times New Roman"/>
          <w:color w:val="212121"/>
          <w:shd w:val="clear" w:color="auto" w:fill="FFFFFF"/>
        </w:rPr>
        <w:t xml:space="preserve">% </w:t>
      </w:r>
      <w:r w:rsidRPr="000824ED">
        <w:rPr>
          <w:rFonts w:ascii="Times New Roman" w:hAnsi="Times New Roman" w:cs="Times New Roman"/>
          <w:color w:val="212121"/>
          <w:shd w:val="clear" w:color="auto" w:fill="FFFFFF"/>
        </w:rPr>
        <w:t xml:space="preserve">reduction in inefficiency, it does not converge to an optimal allocation mainly due to a barrier called boundary behavior. Boundary behavior is the interaction of opposing incentives to move inward in the network to increase </w:t>
      </w:r>
      <w:r w:rsidRPr="007135AF">
        <w:rPr>
          <w:rFonts w:ascii="Times New Roman" w:hAnsi="Times New Roman" w:cs="Times New Roman"/>
          <w:color w:val="212121"/>
          <w:shd w:val="clear" w:color="auto" w:fill="FFFFFF"/>
        </w:rPr>
        <w:t>market share</w:t>
      </w:r>
      <w:r w:rsidRPr="000824ED">
        <w:rPr>
          <w:rFonts w:ascii="Times New Roman" w:hAnsi="Times New Roman" w:cs="Times New Roman"/>
          <w:color w:val="212121"/>
          <w:shd w:val="clear" w:color="auto" w:fill="FFFFFF"/>
        </w:rPr>
        <w:t xml:space="preserve"> while not going so far as to lose the area around the boundary of the network. Addressing this, researchers fixed 14 of the 60 model drivers around the network periphery decreasing spatial inefficiency from .34 initially to .2 in the final allocation</w:t>
      </w:r>
      <w:r w:rsidR="005C5401">
        <w:rPr>
          <w:rFonts w:ascii="Times New Roman" w:hAnsi="Times New Roman" w:cs="Times New Roman"/>
          <w:color w:val="212121"/>
          <w:shd w:val="clear" w:color="auto" w:fill="FFFFFF"/>
        </w:rPr>
        <w:t xml:space="preserve"> after 3,000 iterations. This allowed for MBR behavior in the center to con</w:t>
      </w:r>
      <w:r w:rsidR="009E778B">
        <w:rPr>
          <w:rFonts w:ascii="Times New Roman" w:hAnsi="Times New Roman" w:cs="Times New Roman"/>
          <w:color w:val="212121"/>
          <w:shd w:val="clear" w:color="auto" w:fill="FFFFFF"/>
        </w:rPr>
        <w:t>tinue yet reducing boundary behavior, further increasing efficiency.</w:t>
      </w:r>
    </w:p>
    <w:p w14:paraId="129AEA6A" w14:textId="3434343D" w:rsidR="000824ED" w:rsidRPr="006F1F09" w:rsidRDefault="000824ED" w:rsidP="006F1F09">
      <w:pPr>
        <w:ind w:firstLine="720"/>
        <w:rPr>
          <w:rFonts w:ascii="Times New Roman" w:hAnsi="Times New Roman" w:cs="Times New Roman"/>
        </w:rPr>
      </w:pPr>
      <w:r w:rsidRPr="000824ED">
        <w:rPr>
          <w:rFonts w:ascii="Times New Roman" w:hAnsi="Times New Roman" w:cs="Times New Roman"/>
          <w:color w:val="212121"/>
          <w:shd w:val="clear" w:color="auto" w:fill="FFFFFF"/>
        </w:rPr>
        <w:t xml:space="preserve">In sum, within an experimental setting players myopically best responding may not be choosing the strictly best move option but this method of heuristic decision-making is best when accounting for the small </w:t>
      </w:r>
      <w:r w:rsidR="00453341">
        <w:rPr>
          <w:rFonts w:ascii="Times New Roman" w:hAnsi="Times New Roman" w:cs="Times New Roman"/>
          <w:color w:val="212121"/>
          <w:shd w:val="clear" w:color="auto" w:fill="FFFFFF"/>
        </w:rPr>
        <w:t xml:space="preserve">marginal </w:t>
      </w:r>
      <w:r w:rsidRPr="000824ED">
        <w:rPr>
          <w:rFonts w:ascii="Times New Roman" w:hAnsi="Times New Roman" w:cs="Times New Roman"/>
          <w:color w:val="212121"/>
          <w:shd w:val="clear" w:color="auto" w:fill="FFFFFF"/>
        </w:rPr>
        <w:t>benefit between MBR and FP1 choices and the cost of sophisticated reasoning. This behavior</w:t>
      </w:r>
      <w:r w:rsidR="004C23F3">
        <w:rPr>
          <w:rFonts w:ascii="Times New Roman" w:hAnsi="Times New Roman" w:cs="Times New Roman"/>
          <w:color w:val="212121"/>
          <w:shd w:val="clear" w:color="auto" w:fill="FFFFFF"/>
        </w:rPr>
        <w:t>,</w:t>
      </w:r>
      <w:r w:rsidRPr="000824ED">
        <w:rPr>
          <w:rFonts w:ascii="Times New Roman" w:hAnsi="Times New Roman" w:cs="Times New Roman"/>
          <w:color w:val="212121"/>
          <w:shd w:val="clear" w:color="auto" w:fill="FFFFFF"/>
        </w:rPr>
        <w:t xml:space="preserve"> modeled within real spatial models</w:t>
      </w:r>
      <w:r w:rsidR="004C23F3">
        <w:rPr>
          <w:rFonts w:ascii="Times New Roman" w:hAnsi="Times New Roman" w:cs="Times New Roman"/>
          <w:color w:val="212121"/>
          <w:shd w:val="clear" w:color="auto" w:fill="FFFFFF"/>
        </w:rPr>
        <w:t>,</w:t>
      </w:r>
      <w:r w:rsidRPr="000824ED">
        <w:rPr>
          <w:rFonts w:ascii="Times New Roman" w:hAnsi="Times New Roman" w:cs="Times New Roman"/>
          <w:color w:val="212121"/>
          <w:shd w:val="clear" w:color="auto" w:fill="FFFFFF"/>
        </w:rPr>
        <w:t xml:space="preserve"> decreases inefficiency particularly when planting riders along the network periphery. Given the low stakes </w:t>
      </w:r>
      <w:r w:rsidRPr="000824ED">
        <w:rPr>
          <w:rFonts w:ascii="Times New Roman" w:hAnsi="Times New Roman" w:cs="Times New Roman"/>
          <w:color w:val="212121"/>
          <w:shd w:val="clear" w:color="auto" w:fill="FFFFFF"/>
        </w:rPr>
        <w:lastRenderedPageBreak/>
        <w:t>game of ride-sharing, a strategy that works well most of the time is better than calculating the strictly best option when incurring its related costs in this context.</w:t>
      </w:r>
    </w:p>
    <w:p w14:paraId="69F4A903" w14:textId="15FB959C" w:rsidR="006F1F09" w:rsidRDefault="006F1F09" w:rsidP="00B27E2F">
      <w:pPr>
        <w:ind w:firstLine="720"/>
        <w:rPr>
          <w:rFonts w:ascii="Times New Roman" w:hAnsi="Times New Roman" w:cs="Times New Roman"/>
          <w:color w:val="212121"/>
          <w:shd w:val="clear" w:color="auto" w:fill="FFFFFF"/>
        </w:rPr>
      </w:pPr>
      <w:r w:rsidRPr="000824ED">
        <w:rPr>
          <w:rFonts w:ascii="Times New Roman" w:hAnsi="Times New Roman" w:cs="Times New Roman"/>
          <w:color w:val="212121"/>
          <w:shd w:val="clear" w:color="auto" w:fill="FFFFFF"/>
        </w:rPr>
        <w:t>As autonomous vehicle technology continues to improve it is not a stretch to say self-driving cars could be in commercial production within the next decade.</w:t>
      </w:r>
      <w:r w:rsidR="00B27E2F">
        <w:rPr>
          <w:rFonts w:ascii="Times New Roman" w:hAnsi="Times New Roman" w:cs="Times New Roman"/>
          <w:color w:val="212121"/>
          <w:shd w:val="clear" w:color="auto" w:fill="FFFFFF"/>
        </w:rPr>
        <w:t xml:space="preserve"> Investments in Uber’s driverless car technology</w:t>
      </w:r>
      <w:r w:rsidR="00C90406">
        <w:rPr>
          <w:rFonts w:ascii="Times New Roman" w:hAnsi="Times New Roman" w:cs="Times New Roman"/>
          <w:color w:val="212121"/>
          <w:shd w:val="clear" w:color="auto" w:fill="FFFFFF"/>
        </w:rPr>
        <w:t xml:space="preserve"> are substantial and look to increase in coming years.</w:t>
      </w:r>
      <w:r w:rsidRPr="000824ED">
        <w:rPr>
          <w:rFonts w:ascii="Times New Roman" w:hAnsi="Times New Roman" w:cs="Times New Roman"/>
          <w:color w:val="212121"/>
          <w:shd w:val="clear" w:color="auto" w:fill="FFFFFF"/>
        </w:rPr>
        <w:t xml:space="preserve"> </w:t>
      </w:r>
      <w:r w:rsidR="00C90406">
        <w:rPr>
          <w:rFonts w:ascii="Times New Roman" w:hAnsi="Times New Roman" w:cs="Times New Roman"/>
          <w:color w:val="212121"/>
          <w:shd w:val="clear" w:color="auto" w:fill="FFFFFF"/>
        </w:rPr>
        <w:t>T</w:t>
      </w:r>
      <w:r w:rsidRPr="000824ED">
        <w:rPr>
          <w:rFonts w:ascii="Times New Roman" w:hAnsi="Times New Roman" w:cs="Times New Roman"/>
          <w:color w:val="212121"/>
          <w:shd w:val="clear" w:color="auto" w:fill="FFFFFF"/>
        </w:rPr>
        <w:t>o make the best use of these cars they should position driverless cars along the boundaries in regions where rider demand is not uniformly allocated, this would allow the human drivers to remain in high rider-traffic areas increasing individual pay while also decreasing inefficiency in their ride-sharing system.</w:t>
      </w:r>
    </w:p>
    <w:p w14:paraId="05B8A6C6" w14:textId="6BBC06CA" w:rsidR="00B91889" w:rsidRDefault="00331AB7" w:rsidP="00B91889">
      <w:pPr>
        <w:ind w:firstLine="720"/>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 xml:space="preserve">Given high worker turnover rates in ride-sharing labor markets it is important that new drivers </w:t>
      </w:r>
      <w:r w:rsidR="00B93BEF">
        <w:rPr>
          <w:rFonts w:ascii="Times New Roman" w:hAnsi="Times New Roman" w:cs="Times New Roman"/>
          <w:color w:val="212121"/>
          <w:shd w:val="clear" w:color="auto" w:fill="FFFFFF"/>
        </w:rPr>
        <w:t>can</w:t>
      </w:r>
      <w:r>
        <w:rPr>
          <w:rFonts w:ascii="Times New Roman" w:hAnsi="Times New Roman" w:cs="Times New Roman"/>
          <w:color w:val="212121"/>
          <w:shd w:val="clear" w:color="auto" w:fill="FFFFFF"/>
        </w:rPr>
        <w:t xml:space="preserve"> acclimate to strategies of efficient allocation. As worker pay is driven in part by quantity of rides given, it is important that new drivers</w:t>
      </w:r>
      <w:r w:rsidR="00CE790C">
        <w:rPr>
          <w:rFonts w:ascii="Times New Roman" w:hAnsi="Times New Roman" w:cs="Times New Roman"/>
          <w:color w:val="212121"/>
          <w:shd w:val="clear" w:color="auto" w:fill="FFFFFF"/>
        </w:rPr>
        <w:t xml:space="preserve"> </w:t>
      </w:r>
      <w:r w:rsidR="00B93BEF">
        <w:rPr>
          <w:rFonts w:ascii="Times New Roman" w:hAnsi="Times New Roman" w:cs="Times New Roman"/>
          <w:color w:val="212121"/>
          <w:shd w:val="clear" w:color="auto" w:fill="FFFFFF"/>
        </w:rPr>
        <w:t>can</w:t>
      </w:r>
      <w:r w:rsidR="00CE790C">
        <w:rPr>
          <w:rFonts w:ascii="Times New Roman" w:hAnsi="Times New Roman" w:cs="Times New Roman"/>
          <w:color w:val="212121"/>
          <w:shd w:val="clear" w:color="auto" w:fill="FFFFFF"/>
        </w:rPr>
        <w:t xml:space="preserve"> allocate themselves to high ride-seeking areas </w:t>
      </w:r>
      <w:r w:rsidR="00B93BEF">
        <w:rPr>
          <w:rFonts w:ascii="Times New Roman" w:hAnsi="Times New Roman" w:cs="Times New Roman"/>
          <w:color w:val="212121"/>
          <w:shd w:val="clear" w:color="auto" w:fill="FFFFFF"/>
        </w:rPr>
        <w:t>to</w:t>
      </w:r>
      <w:r w:rsidR="00CE790C">
        <w:rPr>
          <w:rFonts w:ascii="Times New Roman" w:hAnsi="Times New Roman" w:cs="Times New Roman"/>
          <w:color w:val="212121"/>
          <w:shd w:val="clear" w:color="auto" w:fill="FFFFFF"/>
        </w:rPr>
        <w:t xml:space="preserve"> maximize their income. When researchers excluded the first ten minutes of the game the number of FP1 moves made by players rose to 60% to 63% which has implications for driver retention rates. In a short amount of time players began to choose the FP1 option more often which could come as a result of learning and applying the MBR decision-making heuristic. If drivers can adopt MBR behavior sooner, they will begin to make more money in less time than they had anticipated and be more content with their job than had they started their new job less lucratively</w:t>
      </w:r>
      <w:r w:rsidR="00B91889">
        <w:rPr>
          <w:rFonts w:ascii="Times New Roman" w:hAnsi="Times New Roman" w:cs="Times New Roman"/>
          <w:color w:val="212121"/>
          <w:shd w:val="clear" w:color="auto" w:fill="FFFFFF"/>
        </w:rPr>
        <w:t>.</w:t>
      </w:r>
    </w:p>
    <w:p w14:paraId="423C7371" w14:textId="6BFF6249" w:rsidR="00B91889" w:rsidRPr="00B27E2F" w:rsidRDefault="00B91889" w:rsidP="00B91889">
      <w:pPr>
        <w:ind w:firstLine="720"/>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Similar to ride-sharing, emergency transport services and food trucks face similar problems of spatial allocation. Transport services often make trips between hospitals and retirements homes but are also responsible for transporting other people in need of medical attention. Although it may seem intuitive to wait around retirement homes for an emergency call</w:t>
      </w:r>
      <w:r w:rsidR="006645DE">
        <w:rPr>
          <w:rFonts w:ascii="Times New Roman" w:hAnsi="Times New Roman" w:cs="Times New Roman"/>
          <w:color w:val="212121"/>
          <w:shd w:val="clear" w:color="auto" w:fill="FFFFFF"/>
        </w:rPr>
        <w:t xml:space="preserve"> given their relative frequency compared to other location</w:t>
      </w:r>
      <w:r>
        <w:rPr>
          <w:rFonts w:ascii="Times New Roman" w:hAnsi="Times New Roman" w:cs="Times New Roman"/>
          <w:color w:val="212121"/>
          <w:shd w:val="clear" w:color="auto" w:fill="FFFFFF"/>
        </w:rPr>
        <w:t>, the choice of many ambulances to act similarly has an implicit cost to others who need to get to the hospital. By allocating themselves near each other, they would leave the person who was in an automobile accident on the highway waiting longer for help than if ambulances were uniformly distributed around the region</w:t>
      </w:r>
      <w:r w:rsidR="006645DE">
        <w:rPr>
          <w:rFonts w:ascii="Times New Roman" w:hAnsi="Times New Roman" w:cs="Times New Roman"/>
          <w:color w:val="212121"/>
          <w:shd w:val="clear" w:color="auto" w:fill="FFFFFF"/>
        </w:rPr>
        <w:t xml:space="preserve">. </w:t>
      </w:r>
      <w:r w:rsidR="00A22BB5">
        <w:rPr>
          <w:rFonts w:ascii="Times New Roman" w:hAnsi="Times New Roman" w:cs="Times New Roman"/>
          <w:color w:val="212121"/>
          <w:shd w:val="clear" w:color="auto" w:fill="FFFFFF"/>
        </w:rPr>
        <w:t xml:space="preserve">Alternatively, food trucks want to allocate themselves in dense areas of people to capture as much of the local market share as possible while avoiding other food trucks that could steal potential customers away. There may be some benefit to grouping in a location where people will know to go for different cuisines, but with too chefs in the proverbial kitchen the quantity of trucks will reach a prohibitive level where it will no longer be profitable to be near other food carts. In both </w:t>
      </w:r>
      <w:r w:rsidR="00B93BEF">
        <w:rPr>
          <w:rFonts w:ascii="Times New Roman" w:hAnsi="Times New Roman" w:cs="Times New Roman"/>
          <w:color w:val="212121"/>
          <w:shd w:val="clear" w:color="auto" w:fill="FFFFFF"/>
        </w:rPr>
        <w:t>cases,</w:t>
      </w:r>
      <w:r w:rsidR="00A22BB5">
        <w:rPr>
          <w:rFonts w:ascii="Times New Roman" w:hAnsi="Times New Roman" w:cs="Times New Roman"/>
          <w:color w:val="212121"/>
          <w:shd w:val="clear" w:color="auto" w:fill="FFFFFF"/>
        </w:rPr>
        <w:t xml:space="preserve"> there is an incentive for multiple agents to allocate to the same area, but if too many agents do this it results in a Tragedy of the Commons. With knowledge of the location of competing agents ride-sharing drivers, emergency transport services, and food trucks are </w:t>
      </w:r>
      <w:r w:rsidR="00546CCF">
        <w:rPr>
          <w:rFonts w:ascii="Times New Roman" w:hAnsi="Times New Roman" w:cs="Times New Roman"/>
          <w:color w:val="212121"/>
          <w:shd w:val="clear" w:color="auto" w:fill="FFFFFF"/>
        </w:rPr>
        <w:t xml:space="preserve">a </w:t>
      </w:r>
      <w:r w:rsidR="00A22BB5">
        <w:rPr>
          <w:rFonts w:ascii="Times New Roman" w:hAnsi="Times New Roman" w:cs="Times New Roman"/>
          <w:color w:val="212121"/>
          <w:shd w:val="clear" w:color="auto" w:fill="FFFFFF"/>
        </w:rPr>
        <w:t>few of the many industries that could benefit from adopt</w:t>
      </w:r>
      <w:r w:rsidR="00546CCF">
        <w:rPr>
          <w:rFonts w:ascii="Times New Roman" w:hAnsi="Times New Roman" w:cs="Times New Roman"/>
          <w:color w:val="212121"/>
          <w:shd w:val="clear" w:color="auto" w:fill="FFFFFF"/>
        </w:rPr>
        <w:t>ing a myopic best response in spatial competition.</w:t>
      </w:r>
    </w:p>
    <w:p w14:paraId="759D4E7E" w14:textId="77777777" w:rsidR="00E32484" w:rsidRDefault="00E32484" w:rsidP="00E32484">
      <w:pPr>
        <w:rPr>
          <w:rFonts w:ascii="Times New Roman" w:eastAsia="Times New Roman" w:hAnsi="Times New Roman" w:cs="Times New Roman"/>
          <w:color w:val="000000"/>
          <w:sz w:val="18"/>
          <w:szCs w:val="18"/>
          <w:shd w:val="clear" w:color="auto" w:fill="FFFFFF"/>
        </w:rPr>
      </w:pPr>
    </w:p>
    <w:p w14:paraId="7A73C1C0" w14:textId="77777777" w:rsidR="00AE4C68" w:rsidRPr="00E32484" w:rsidRDefault="00AE4C68">
      <w:pPr>
        <w:rPr>
          <w:rFonts w:ascii="Times New Roman" w:hAnsi="Times New Roman" w:cs="Times New Roman"/>
          <w:sz w:val="40"/>
        </w:rPr>
      </w:pPr>
    </w:p>
    <w:sectPr w:rsidR="00AE4C68" w:rsidRPr="00E32484" w:rsidSect="008C5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4ED"/>
    <w:rsid w:val="00006D2A"/>
    <w:rsid w:val="000824ED"/>
    <w:rsid w:val="002B00BE"/>
    <w:rsid w:val="002C4EB8"/>
    <w:rsid w:val="00331AB7"/>
    <w:rsid w:val="003456BB"/>
    <w:rsid w:val="003E3D71"/>
    <w:rsid w:val="003E5569"/>
    <w:rsid w:val="00453341"/>
    <w:rsid w:val="00472DBD"/>
    <w:rsid w:val="004C23F3"/>
    <w:rsid w:val="004F0809"/>
    <w:rsid w:val="00546CCF"/>
    <w:rsid w:val="005C5401"/>
    <w:rsid w:val="005D226A"/>
    <w:rsid w:val="006645DE"/>
    <w:rsid w:val="006F1F09"/>
    <w:rsid w:val="007135AF"/>
    <w:rsid w:val="007E7ABD"/>
    <w:rsid w:val="00815546"/>
    <w:rsid w:val="00823C93"/>
    <w:rsid w:val="00870C53"/>
    <w:rsid w:val="008C5A13"/>
    <w:rsid w:val="008E557E"/>
    <w:rsid w:val="00900245"/>
    <w:rsid w:val="00947E1E"/>
    <w:rsid w:val="00982C80"/>
    <w:rsid w:val="009E778B"/>
    <w:rsid w:val="009F26E1"/>
    <w:rsid w:val="00A204CF"/>
    <w:rsid w:val="00A22BB5"/>
    <w:rsid w:val="00A260AC"/>
    <w:rsid w:val="00A46CBD"/>
    <w:rsid w:val="00A932BF"/>
    <w:rsid w:val="00AE4C68"/>
    <w:rsid w:val="00B07D32"/>
    <w:rsid w:val="00B13505"/>
    <w:rsid w:val="00B21573"/>
    <w:rsid w:val="00B27E2F"/>
    <w:rsid w:val="00B43BB8"/>
    <w:rsid w:val="00B64AB9"/>
    <w:rsid w:val="00B91889"/>
    <w:rsid w:val="00B93BEF"/>
    <w:rsid w:val="00BF7B3C"/>
    <w:rsid w:val="00C11975"/>
    <w:rsid w:val="00C2416F"/>
    <w:rsid w:val="00C700D8"/>
    <w:rsid w:val="00C90406"/>
    <w:rsid w:val="00C94237"/>
    <w:rsid w:val="00CE5491"/>
    <w:rsid w:val="00CE790C"/>
    <w:rsid w:val="00D46F1B"/>
    <w:rsid w:val="00DA55A4"/>
    <w:rsid w:val="00E32484"/>
    <w:rsid w:val="00E32508"/>
    <w:rsid w:val="00E738D2"/>
    <w:rsid w:val="00E83DF2"/>
    <w:rsid w:val="00ED7E0E"/>
    <w:rsid w:val="00EE449A"/>
    <w:rsid w:val="00F4325E"/>
    <w:rsid w:val="00F560CE"/>
    <w:rsid w:val="00F74A13"/>
    <w:rsid w:val="00FD45DC"/>
    <w:rsid w:val="00FE6916"/>
    <w:rsid w:val="00FE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5E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4ED"/>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0824ED"/>
  </w:style>
  <w:style w:type="paragraph" w:customStyle="1" w:styleId="citation">
    <w:name w:val="citation"/>
    <w:basedOn w:val="Normal"/>
    <w:rsid w:val="00AE4C6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F74A13"/>
    <w:rPr>
      <w:color w:val="0563C1" w:themeColor="hyperlink"/>
      <w:u w:val="single"/>
    </w:rPr>
  </w:style>
  <w:style w:type="paragraph" w:styleId="ListParagraph">
    <w:name w:val="List Paragraph"/>
    <w:basedOn w:val="Normal"/>
    <w:uiPriority w:val="34"/>
    <w:qFormat/>
    <w:rsid w:val="00DA5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49281">
      <w:bodyDiv w:val="1"/>
      <w:marLeft w:val="0"/>
      <w:marRight w:val="0"/>
      <w:marTop w:val="0"/>
      <w:marBottom w:val="0"/>
      <w:divBdr>
        <w:top w:val="none" w:sz="0" w:space="0" w:color="auto"/>
        <w:left w:val="none" w:sz="0" w:space="0" w:color="auto"/>
        <w:bottom w:val="none" w:sz="0" w:space="0" w:color="auto"/>
        <w:right w:val="none" w:sz="0" w:space="0" w:color="auto"/>
      </w:divBdr>
    </w:div>
    <w:div w:id="731926582">
      <w:bodyDiv w:val="1"/>
      <w:marLeft w:val="0"/>
      <w:marRight w:val="0"/>
      <w:marTop w:val="0"/>
      <w:marBottom w:val="0"/>
      <w:divBdr>
        <w:top w:val="none" w:sz="0" w:space="0" w:color="auto"/>
        <w:left w:val="none" w:sz="0" w:space="0" w:color="auto"/>
        <w:bottom w:val="none" w:sz="0" w:space="0" w:color="auto"/>
        <w:right w:val="none" w:sz="0" w:space="0" w:color="auto"/>
      </w:divBdr>
    </w:div>
    <w:div w:id="925967343">
      <w:bodyDiv w:val="1"/>
      <w:marLeft w:val="0"/>
      <w:marRight w:val="0"/>
      <w:marTop w:val="0"/>
      <w:marBottom w:val="0"/>
      <w:divBdr>
        <w:top w:val="none" w:sz="0" w:space="0" w:color="auto"/>
        <w:left w:val="none" w:sz="0" w:space="0" w:color="auto"/>
        <w:bottom w:val="none" w:sz="0" w:space="0" w:color="auto"/>
        <w:right w:val="none" w:sz="0" w:space="0" w:color="auto"/>
      </w:divBdr>
    </w:div>
    <w:div w:id="1007638402">
      <w:bodyDiv w:val="1"/>
      <w:marLeft w:val="0"/>
      <w:marRight w:val="0"/>
      <w:marTop w:val="0"/>
      <w:marBottom w:val="0"/>
      <w:divBdr>
        <w:top w:val="none" w:sz="0" w:space="0" w:color="auto"/>
        <w:left w:val="none" w:sz="0" w:space="0" w:color="auto"/>
        <w:bottom w:val="none" w:sz="0" w:space="0" w:color="auto"/>
        <w:right w:val="none" w:sz="0" w:space="0" w:color="auto"/>
      </w:divBdr>
    </w:div>
    <w:div w:id="1165976185">
      <w:bodyDiv w:val="1"/>
      <w:marLeft w:val="0"/>
      <w:marRight w:val="0"/>
      <w:marTop w:val="0"/>
      <w:marBottom w:val="0"/>
      <w:divBdr>
        <w:top w:val="none" w:sz="0" w:space="0" w:color="auto"/>
        <w:left w:val="none" w:sz="0" w:space="0" w:color="auto"/>
        <w:bottom w:val="none" w:sz="0" w:space="0" w:color="auto"/>
        <w:right w:val="none" w:sz="0" w:space="0" w:color="auto"/>
      </w:divBdr>
    </w:div>
    <w:div w:id="20132958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1898</Words>
  <Characters>10193</Characters>
  <Application>Microsoft Office Word</Application>
  <DocSecurity>0</DocSecurity>
  <Lines>152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Horn</dc:creator>
  <cp:keywords/>
  <dc:description/>
  <cp:lastModifiedBy>JONATHAN DAVID KIM</cp:lastModifiedBy>
  <cp:revision>5</cp:revision>
  <dcterms:created xsi:type="dcterms:W3CDTF">2018-12-13T04:24:00Z</dcterms:created>
  <dcterms:modified xsi:type="dcterms:W3CDTF">2019-02-19T16:44:00Z</dcterms:modified>
</cp:coreProperties>
</file>