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E661E" w14:textId="12E28EDF" w:rsidR="00572957" w:rsidRDefault="00121CEF" w:rsidP="00740318">
      <w:pPr>
        <w:jc w:val="center"/>
      </w:pPr>
      <w:r>
        <w:t xml:space="preserve">“How many </w:t>
      </w:r>
      <w:r w:rsidR="00000E37">
        <w:t>economists</w:t>
      </w:r>
      <w:r>
        <w:t xml:space="preserve"> does it take to buy a lightbulb?”</w:t>
      </w:r>
    </w:p>
    <w:p w14:paraId="37E6817C" w14:textId="32126729" w:rsidR="00740318" w:rsidRDefault="00B03A8A" w:rsidP="00740318">
      <w:pPr>
        <w:jc w:val="center"/>
      </w:pPr>
      <w:r>
        <w:t xml:space="preserve">By </w:t>
      </w:r>
      <w:r w:rsidR="00740318">
        <w:t>Joe Hayes</w:t>
      </w:r>
    </w:p>
    <w:p w14:paraId="024E897E" w14:textId="6F770AD6" w:rsidR="0027584D" w:rsidRPr="00F21559" w:rsidRDefault="0027584D" w:rsidP="00E951A7">
      <w:pPr>
        <w:spacing w:line="480" w:lineRule="auto"/>
        <w:ind w:firstLine="720"/>
        <w:rPr>
          <w:b/>
        </w:rPr>
      </w:pPr>
      <w:r>
        <w:t xml:space="preserve">Selecting a product should be easy. Economists </w:t>
      </w:r>
      <w:r w:rsidR="00E951A7">
        <w:t xml:space="preserve">(and your parents) </w:t>
      </w:r>
      <w:r w:rsidR="00ED5C68">
        <w:t>believe</w:t>
      </w:r>
      <w:r>
        <w:t xml:space="preserve"> that the one product that will give </w:t>
      </w:r>
      <w:r w:rsidR="00182445">
        <w:t xml:space="preserve">you </w:t>
      </w:r>
      <w:r>
        <w:t xml:space="preserve">the </w:t>
      </w:r>
      <w:r w:rsidR="00182445">
        <w:t>best</w:t>
      </w:r>
      <w:r w:rsidR="00B16F00">
        <w:t xml:space="preserve"> </w:t>
      </w:r>
      <w:r w:rsidR="00182445">
        <w:t>bang</w:t>
      </w:r>
      <w:r w:rsidR="00B16F00">
        <w:t xml:space="preserve"> for </w:t>
      </w:r>
      <w:r w:rsidR="00182445">
        <w:t>the lowest</w:t>
      </w:r>
      <w:r w:rsidR="00B16F00">
        <w:t xml:space="preserve"> </w:t>
      </w:r>
      <w:r w:rsidR="00182445">
        <w:t>buck</w:t>
      </w:r>
      <w:r w:rsidR="00B16F00">
        <w:t xml:space="preserve"> </w:t>
      </w:r>
      <w:r w:rsidR="00163BB7">
        <w:t>should</w:t>
      </w:r>
      <w:r>
        <w:t xml:space="preserve"> be the </w:t>
      </w:r>
      <w:r w:rsidR="002775CB">
        <w:t xml:space="preserve">one you </w:t>
      </w:r>
      <w:r w:rsidR="00BC503D">
        <w:t>select</w:t>
      </w:r>
      <w:r>
        <w:t>. However, th</w:t>
      </w:r>
      <w:r w:rsidR="002775CB">
        <w:t xml:space="preserve">is </w:t>
      </w:r>
      <w:r>
        <w:t xml:space="preserve">doesn’t seem to be the case </w:t>
      </w:r>
      <w:r w:rsidR="002816F6">
        <w:t>for</w:t>
      </w:r>
      <w:r>
        <w:t xml:space="preserve"> energy efficient products. People </w:t>
      </w:r>
      <w:r w:rsidR="00163BB7">
        <w:t>tend</w:t>
      </w:r>
      <w:r>
        <w:t xml:space="preserve"> not to invest i</w:t>
      </w:r>
      <w:r w:rsidR="00E951A7">
        <w:t>n energy efficiency, even though it would pay off in the long run</w:t>
      </w:r>
      <w:r w:rsidR="00D16834">
        <w:t xml:space="preserve"> </w:t>
      </w:r>
      <w:r w:rsidR="002816F6">
        <w:t>with</w:t>
      </w:r>
      <w:r w:rsidR="00D16834">
        <w:t xml:space="preserve"> lower energy costs</w:t>
      </w:r>
      <w:r w:rsidR="002A063F">
        <w:t xml:space="preserve">. This is </w:t>
      </w:r>
      <w:r w:rsidR="00992DE3">
        <w:t>the basis for the “energy paradox”</w:t>
      </w:r>
      <w:r w:rsidR="00ED2202">
        <w:t xml:space="preserve"> (</w:t>
      </w:r>
      <w:r w:rsidR="00ED2202" w:rsidRPr="00747515">
        <w:t xml:space="preserve">Jaffe and </w:t>
      </w:r>
      <w:proofErr w:type="spellStart"/>
      <w:r w:rsidR="00ED2202" w:rsidRPr="00747515">
        <w:t>Stavins</w:t>
      </w:r>
      <w:proofErr w:type="spellEnd"/>
      <w:r w:rsidR="00AA26D1">
        <w:t>,</w:t>
      </w:r>
      <w:r w:rsidR="00ED2202" w:rsidRPr="00747515">
        <w:t xml:space="preserve"> 1994</w:t>
      </w:r>
      <w:r w:rsidR="00ED2202">
        <w:t>)</w:t>
      </w:r>
      <w:r w:rsidR="00E951A7">
        <w:t xml:space="preserve">. </w:t>
      </w:r>
      <w:r w:rsidR="00992DE3">
        <w:t>The energy paradox is the apparent reality that some energy-efficiency technologies (and thus cheaper alternatives</w:t>
      </w:r>
      <w:r w:rsidR="007A5FCA">
        <w:t xml:space="preserve"> in the long run</w:t>
      </w:r>
      <w:r w:rsidR="00992DE3">
        <w:t xml:space="preserve">) are perplexingly not adopted. </w:t>
      </w:r>
      <w:r w:rsidR="00E951A7">
        <w:t xml:space="preserve">This </w:t>
      </w:r>
      <w:r w:rsidR="00C432A8">
        <w:t xml:space="preserve">paradox </w:t>
      </w:r>
      <w:r w:rsidR="00ED2202">
        <w:t>i</w:t>
      </w:r>
      <w:r w:rsidR="00E951A7">
        <w:t>s</w:t>
      </w:r>
      <w:r w:rsidR="00ED2202">
        <w:t xml:space="preserve"> true</w:t>
      </w:r>
      <w:r w:rsidR="00E951A7">
        <w:t xml:space="preserve"> for lightbulbs</w:t>
      </w:r>
      <w:r w:rsidR="00ED2202">
        <w:t xml:space="preserve">, and </w:t>
      </w:r>
      <w:r w:rsidR="00C432A8">
        <w:t>lightbulbs</w:t>
      </w:r>
      <w:r w:rsidR="00ED2202">
        <w:t xml:space="preserve"> serve</w:t>
      </w:r>
      <w:r w:rsidR="00A40FAC">
        <w:t xml:space="preserve"> </w:t>
      </w:r>
      <w:r w:rsidR="00ED2202">
        <w:t xml:space="preserve">as a </w:t>
      </w:r>
      <w:r w:rsidR="00984E3B">
        <w:t>lightning rod of debate</w:t>
      </w:r>
      <w:r w:rsidR="00961B68">
        <w:t>.</w:t>
      </w:r>
      <w:r>
        <w:t xml:space="preserve"> LED (Light Emitting Diode) lighting is </w:t>
      </w:r>
      <w:r w:rsidR="002816F6">
        <w:t>vastly more</w:t>
      </w:r>
      <w:r>
        <w:t xml:space="preserve"> efficient compared to traditional incandescent lightbulbs</w:t>
      </w:r>
      <w:r w:rsidR="00F20157">
        <w:t>, and yet historically their rate of adoption has been low</w:t>
      </w:r>
      <w:r>
        <w:t xml:space="preserve">. </w:t>
      </w:r>
      <w:r w:rsidR="00182445">
        <w:t>However, the</w:t>
      </w:r>
      <w:r>
        <w:t xml:space="preserve"> energy paradox masks</w:t>
      </w:r>
      <w:r w:rsidR="00984E3B">
        <w:t xml:space="preserve"> the</w:t>
      </w:r>
      <w:r>
        <w:t xml:space="preserve"> straight forward </w:t>
      </w:r>
      <w:r w:rsidR="00984E3B">
        <w:t>cost savings</w:t>
      </w:r>
      <w:r>
        <w:t xml:space="preserve">, </w:t>
      </w:r>
      <w:r w:rsidR="00820D0A">
        <w:t xml:space="preserve">and </w:t>
      </w:r>
      <w:r>
        <w:t>mak</w:t>
      </w:r>
      <w:r w:rsidR="00820D0A">
        <w:t>es</w:t>
      </w:r>
      <w:r>
        <w:t xml:space="preserve"> for irrational behavior.</w:t>
      </w:r>
      <w:r w:rsidR="00CA2A1F">
        <w:t xml:space="preserve"> </w:t>
      </w:r>
      <w:r w:rsidR="00CA2A1F" w:rsidRPr="00CA2A1F">
        <w:t xml:space="preserve">Identifying the extent and trying to solve </w:t>
      </w:r>
      <w:r w:rsidR="00505505" w:rsidRPr="00CA2A1F">
        <w:t xml:space="preserve">the energy paradox is an important step in our </w:t>
      </w:r>
      <w:r w:rsidR="00724B0C" w:rsidRPr="00CA2A1F">
        <w:t>sustain</w:t>
      </w:r>
      <w:r w:rsidR="00CA2A1F" w:rsidRPr="00CA2A1F">
        <w:t>able energy future.</w:t>
      </w:r>
      <w:r w:rsidR="00CA2A1F">
        <w:rPr>
          <w:b/>
        </w:rPr>
        <w:t xml:space="preserve"> </w:t>
      </w:r>
    </w:p>
    <w:p w14:paraId="5E4FBF65" w14:textId="792C8CCA" w:rsidR="00D64899" w:rsidRDefault="00992DE3" w:rsidP="008A2653">
      <w:pPr>
        <w:spacing w:line="480" w:lineRule="auto"/>
        <w:ind w:firstLine="720"/>
      </w:pPr>
      <w:r>
        <w:t>This contradiction</w:t>
      </w:r>
      <w:r w:rsidR="00740318">
        <w:t xml:space="preserve"> is an expanding area of research due to its complexity and irrational failings. </w:t>
      </w:r>
      <w:r>
        <w:t>It</w:t>
      </w:r>
      <w:r w:rsidR="00D6453E">
        <w:t xml:space="preserve"> spans almost all energy efficient reductions from </w:t>
      </w:r>
      <w:r w:rsidR="00953119">
        <w:t>refrigerators (Gately, 1980</w:t>
      </w:r>
      <w:r w:rsidR="00D6453E">
        <w:t>)</w:t>
      </w:r>
      <w:r w:rsidR="00953119">
        <w:t>, air conditioners (Hausman, 1979), and more recently heavy-duty trucking (Klemick et al. 2015)</w:t>
      </w:r>
      <w:r w:rsidR="00F82BF0">
        <w:t>.</w:t>
      </w:r>
      <w:r w:rsidR="00953119">
        <w:t xml:space="preserve"> There must be some reason for the disconnect between</w:t>
      </w:r>
      <w:r w:rsidR="00AC0DB5">
        <w:t xml:space="preserve"> the</w:t>
      </w:r>
      <w:r w:rsidR="00953119">
        <w:t xml:space="preserve"> </w:t>
      </w:r>
      <w:r w:rsidR="00BC503D">
        <w:t xml:space="preserve">future savings of energy efficiency and </w:t>
      </w:r>
      <w:r w:rsidR="00984E3B">
        <w:t>consumer choices</w:t>
      </w:r>
      <w:r w:rsidR="00BC503D">
        <w:t>.</w:t>
      </w:r>
      <w:r w:rsidR="00A40FAC">
        <w:t xml:space="preserve"> </w:t>
      </w:r>
      <w:r w:rsidR="00D6453E">
        <w:t xml:space="preserve">Economists </w:t>
      </w:r>
      <w:r w:rsidR="00AA2E30">
        <w:t xml:space="preserve">generally believe that the reason for </w:t>
      </w:r>
      <w:r w:rsidR="0044501C">
        <w:t>the irrational</w:t>
      </w:r>
      <w:r w:rsidR="00AA2E30">
        <w:t xml:space="preserve"> behavior is </w:t>
      </w:r>
      <w:r w:rsidR="00961B68">
        <w:t xml:space="preserve">due to </w:t>
      </w:r>
      <w:r w:rsidR="00AA2E30">
        <w:t>heuristics (</w:t>
      </w:r>
      <w:proofErr w:type="spellStart"/>
      <w:r w:rsidR="00AA2E30">
        <w:t>Gillingham</w:t>
      </w:r>
      <w:proofErr w:type="spellEnd"/>
      <w:r w:rsidR="00AA2E30">
        <w:t xml:space="preserve"> and Palmer</w:t>
      </w:r>
      <w:r w:rsidR="0044501C">
        <w:t>, 2013</w:t>
      </w:r>
      <w:r w:rsidR="00AA2E30">
        <w:t>)</w:t>
      </w:r>
      <w:r w:rsidR="00C416D9">
        <w:t>.</w:t>
      </w:r>
      <w:r w:rsidR="00AA2E30">
        <w:t xml:space="preserve"> In other words, people have ingrained </w:t>
      </w:r>
      <w:r w:rsidR="0044501C">
        <w:t>experiences that affect their choices</w:t>
      </w:r>
      <w:r w:rsidR="00AA2E30">
        <w:t>.</w:t>
      </w:r>
      <w:r w:rsidR="00A54ABA">
        <w:t xml:space="preserve"> </w:t>
      </w:r>
      <w:r w:rsidR="002319F6">
        <w:t xml:space="preserve">Nonstandard preferences are </w:t>
      </w:r>
      <w:r w:rsidR="00AA2E30">
        <w:t>an example</w:t>
      </w:r>
      <w:r w:rsidR="002319F6">
        <w:t xml:space="preserve"> of these. For example, these could be thought of as </w:t>
      </w:r>
      <w:r w:rsidR="00FC1CE1">
        <w:t xml:space="preserve">beneficial </w:t>
      </w:r>
      <w:r w:rsidR="002319F6">
        <w:t xml:space="preserve">investments </w:t>
      </w:r>
      <w:r w:rsidR="008A2653">
        <w:t xml:space="preserve">for the future </w:t>
      </w:r>
      <w:r w:rsidR="0093098B">
        <w:t>that you</w:t>
      </w:r>
      <w:r w:rsidR="00FC1CE1">
        <w:t xml:space="preserve"> want to do but</w:t>
      </w:r>
      <w:r w:rsidR="0093098B">
        <w:t xml:space="preserve"> keep putting off</w:t>
      </w:r>
      <w:r w:rsidR="008A2653">
        <w:t xml:space="preserve">, </w:t>
      </w:r>
      <w:r w:rsidR="0093098B">
        <w:t>analogous to</w:t>
      </w:r>
      <w:r w:rsidR="00B572FB">
        <w:t xml:space="preserve"> </w:t>
      </w:r>
      <w:r w:rsidR="0093098B">
        <w:t>eating healthier foods</w:t>
      </w:r>
      <w:r w:rsidR="00B572FB">
        <w:t xml:space="preserve">. You know you should, but you just don’t want to. This could be a similar story to </w:t>
      </w:r>
      <w:r w:rsidR="008A2653">
        <w:t>investing in energy efficient products (</w:t>
      </w:r>
      <w:proofErr w:type="spellStart"/>
      <w:r w:rsidR="008A2653">
        <w:t>Tvetanov</w:t>
      </w:r>
      <w:proofErr w:type="spellEnd"/>
      <w:r w:rsidR="008A2653">
        <w:t xml:space="preserve"> and </w:t>
      </w:r>
      <w:proofErr w:type="spellStart"/>
      <w:r w:rsidR="008A2653">
        <w:t>Segerson</w:t>
      </w:r>
      <w:proofErr w:type="spellEnd"/>
      <w:r w:rsidR="008A2653">
        <w:t>, 2011).</w:t>
      </w:r>
      <w:r w:rsidR="00B572FB">
        <w:t xml:space="preserve"> As the time to invest in energy efficient product nears, the consumer puts it off </w:t>
      </w:r>
      <w:r w:rsidR="00000E37">
        <w:t>“</w:t>
      </w:r>
      <w:r w:rsidR="00B572FB">
        <w:t>until next time</w:t>
      </w:r>
      <w:r w:rsidR="00000E37">
        <w:t>”</w:t>
      </w:r>
      <w:r w:rsidR="00B572FB">
        <w:t xml:space="preserve">. </w:t>
      </w:r>
      <w:r w:rsidR="008A2653">
        <w:t xml:space="preserve"> </w:t>
      </w:r>
      <w:r w:rsidR="00DD4120">
        <w:t xml:space="preserve">Another </w:t>
      </w:r>
      <w:r w:rsidR="00BC503D">
        <w:t>possible explanation</w:t>
      </w:r>
      <w:r w:rsidR="00DD4120">
        <w:t xml:space="preserve"> is the behavioral aspect </w:t>
      </w:r>
      <w:r w:rsidR="00DD4120">
        <w:lastRenderedPageBreak/>
        <w:t>of people</w:t>
      </w:r>
      <w:r w:rsidR="00A008B6">
        <w:t>, including</w:t>
      </w:r>
      <w:r w:rsidR="00C03646">
        <w:t xml:space="preserve"> </w:t>
      </w:r>
      <w:r w:rsidR="00532413">
        <w:t>imperfect</w:t>
      </w:r>
      <w:r w:rsidR="00B039A1">
        <w:t xml:space="preserve"> information regarding the savings earned or</w:t>
      </w:r>
      <w:r w:rsidR="00B039A1" w:rsidRPr="00B039A1">
        <w:t xml:space="preserve"> </w:t>
      </w:r>
      <w:r w:rsidR="00B039A1">
        <w:t>economic myopia</w:t>
      </w:r>
      <w:r w:rsidR="00DD4120">
        <w:t>.</w:t>
      </w:r>
      <w:r w:rsidR="00420C5C">
        <w:t xml:space="preserve"> I</w:t>
      </w:r>
      <w:r w:rsidR="0009565B">
        <w:t xml:space="preserve">t seems that consumers choosing products are less attentive to additional costs. Research has found that people are less elastic to shipping and handling on eBay than to the price of the item itself (Hossain &amp; Morgan, 2006). This </w:t>
      </w:r>
      <w:r w:rsidR="00BC503D">
        <w:t>may</w:t>
      </w:r>
      <w:r w:rsidR="0009565B">
        <w:t xml:space="preserve"> be a corollary to lower prices </w:t>
      </w:r>
      <w:r w:rsidR="007A5FCA">
        <w:t>with</w:t>
      </w:r>
      <w:r w:rsidR="0009565B">
        <w:t xml:space="preserve"> the upfront cost</w:t>
      </w:r>
      <w:r w:rsidR="00182445">
        <w:t xml:space="preserve"> of the incandescent bulbs</w:t>
      </w:r>
      <w:r w:rsidR="0009565B">
        <w:t xml:space="preserve">, </w:t>
      </w:r>
      <w:r w:rsidR="00010B8C">
        <w:t>even though</w:t>
      </w:r>
      <w:r w:rsidR="0009565B">
        <w:t xml:space="preserve"> their future electricity bills would go up. </w:t>
      </w:r>
      <w:r w:rsidR="00347172">
        <w:t>Or</w:t>
      </w:r>
      <w:r w:rsidR="00182445">
        <w:t>,</w:t>
      </w:r>
      <w:r w:rsidR="00347172">
        <w:t xml:space="preserve"> a</w:t>
      </w:r>
      <w:r w:rsidR="00000E37">
        <w:t>n</w:t>
      </w:r>
      <w:r w:rsidR="00347172">
        <w:t xml:space="preserve"> </w:t>
      </w:r>
      <w:r w:rsidR="00000E37">
        <w:t>uninspiring last</w:t>
      </w:r>
      <w:r w:rsidR="00347172">
        <w:t xml:space="preserve"> possibility</w:t>
      </w:r>
      <w:r w:rsidR="00FF462C">
        <w:t>,</w:t>
      </w:r>
      <w:r w:rsidR="00347172">
        <w:t xml:space="preserve"> the energy paradox</w:t>
      </w:r>
      <w:r w:rsidR="00DD4120">
        <w:t xml:space="preserve"> </w:t>
      </w:r>
      <w:r w:rsidR="00BC503D">
        <w:t xml:space="preserve">is </w:t>
      </w:r>
      <w:r w:rsidR="00FF462C">
        <w:t>the</w:t>
      </w:r>
      <w:r w:rsidR="00BC503D">
        <w:t xml:space="preserve"> result of</w:t>
      </w:r>
      <w:r w:rsidR="00DD4120">
        <w:t xml:space="preserve"> economists </w:t>
      </w:r>
      <w:r w:rsidR="00445095">
        <w:t>overestimating the benefits of switching to energy efficient technologies (Fowlie et al., 2018)</w:t>
      </w:r>
      <w:r w:rsidR="001F0398">
        <w:t>.</w:t>
      </w:r>
      <w:r w:rsidR="00DD4120">
        <w:t xml:space="preserve">  </w:t>
      </w:r>
      <w:r w:rsidR="00C416D9">
        <w:t xml:space="preserve"> </w:t>
      </w:r>
    </w:p>
    <w:p w14:paraId="7BC85378" w14:textId="76ADD765" w:rsidR="000E3A4D" w:rsidRDefault="00505505" w:rsidP="00B16F00">
      <w:pPr>
        <w:spacing w:line="480" w:lineRule="auto"/>
        <w:ind w:firstLine="720"/>
      </w:pPr>
      <w:r w:rsidRPr="00505505">
        <w:t>LEDs produce less heat than incandescent light bulbs (“Learn about LED lighting”), which allows them to emit more light, last longer (“The Lightbulb Revolution”), yet are only slightly more expensive. S</w:t>
      </w:r>
      <w:r w:rsidR="001F0398" w:rsidRPr="00505505">
        <w:t>ince</w:t>
      </w:r>
      <w:r w:rsidR="001F0398">
        <w:t xml:space="preserve"> the</w:t>
      </w:r>
      <w:r>
        <w:t>se</w:t>
      </w:r>
      <w:r w:rsidR="001F0398">
        <w:t xml:space="preserve"> </w:t>
      </w:r>
      <w:r w:rsidR="00182445">
        <w:t xml:space="preserve">energy efficiency </w:t>
      </w:r>
      <w:r w:rsidR="001F0398">
        <w:t xml:space="preserve">savings are not being realized, some governments </w:t>
      </w:r>
      <w:r w:rsidR="00CA2A1F">
        <w:t xml:space="preserve">have </w:t>
      </w:r>
      <w:r w:rsidR="00BC503D">
        <w:t>initiated</w:t>
      </w:r>
      <w:r w:rsidR="001F0398">
        <w:t xml:space="preserve"> energy efficiency standards</w:t>
      </w:r>
      <w:r w:rsidR="00D15B1D">
        <w:t>, effectively phasing out the inca</w:t>
      </w:r>
      <w:r w:rsidR="00182445">
        <w:t>n</w:t>
      </w:r>
      <w:r w:rsidR="00D15B1D">
        <w:t xml:space="preserve">descent lightbulb. However, </w:t>
      </w:r>
      <w:r w:rsidR="00E82D88" w:rsidRPr="002F0594">
        <w:t>LEDs have gotten some surprising pushback</w:t>
      </w:r>
      <w:r w:rsidR="00C973E6" w:rsidRPr="002F0594">
        <w:t xml:space="preserve"> </w:t>
      </w:r>
      <w:r w:rsidR="00F0733D">
        <w:t>in the United States</w:t>
      </w:r>
      <w:r w:rsidR="00E82D88" w:rsidRPr="002F0594">
        <w:t xml:space="preserve">. </w:t>
      </w:r>
      <w:r w:rsidR="001F0398">
        <w:t>It seemed that</w:t>
      </w:r>
      <w:r w:rsidR="00F0733D">
        <w:t xml:space="preserve"> </w:t>
      </w:r>
      <w:r w:rsidR="002816F6">
        <w:t>the US</w:t>
      </w:r>
      <w:r w:rsidR="00F0733D">
        <w:t xml:space="preserve"> would follow </w:t>
      </w:r>
      <w:r w:rsidR="00BC503D">
        <w:t xml:space="preserve">the lead of other countries, such as </w:t>
      </w:r>
      <w:r w:rsidR="00F0733D">
        <w:t xml:space="preserve">Argentina, Australia, Brazil, Canada, China, Cuba, the European Union, Israel, Malaysia, Russia, and Switzerland banning the </w:t>
      </w:r>
      <w:r w:rsidR="008E3DEB">
        <w:t>incandescent lightbulb a</w:t>
      </w:r>
      <w:r w:rsidR="00E82D88" w:rsidRPr="002F0594">
        <w:t xml:space="preserve">fter the </w:t>
      </w:r>
      <w:r w:rsidR="00203401">
        <w:t>“</w:t>
      </w:r>
      <w:r w:rsidR="00E82D88" w:rsidRPr="00203401">
        <w:rPr>
          <w:b/>
          <w:u w:val="single"/>
        </w:rPr>
        <w:t>Energy Independence Act</w:t>
      </w:r>
      <w:r w:rsidR="00203401" w:rsidRPr="00203401">
        <w:rPr>
          <w:b/>
          <w:u w:val="single"/>
        </w:rPr>
        <w:t>”</w:t>
      </w:r>
      <w:r w:rsidR="00E82D88" w:rsidRPr="00203401">
        <w:rPr>
          <w:b/>
          <w:u w:val="single"/>
        </w:rPr>
        <w:t xml:space="preserve"> </w:t>
      </w:r>
      <w:r w:rsidR="00E82D88" w:rsidRPr="002F0594">
        <w:t>of 2007</w:t>
      </w:r>
      <w:r w:rsidR="008E3DEB">
        <w:t xml:space="preserve">. This </w:t>
      </w:r>
      <w:r w:rsidR="00BC503D">
        <w:t>legislation sought</w:t>
      </w:r>
      <w:r w:rsidR="008E3DEB">
        <w:t xml:space="preserve"> to make</w:t>
      </w:r>
      <w:r w:rsidR="00797233">
        <w:t xml:space="preserve"> lightbulbs 25 to 30 percent more efficient than the 2008 standards</w:t>
      </w:r>
      <w:r w:rsidR="002F0594" w:rsidRPr="002F0594">
        <w:t xml:space="preserve"> </w:t>
      </w:r>
      <w:r w:rsidR="00797233">
        <w:t>by 2012</w:t>
      </w:r>
      <w:r w:rsidR="003B0058">
        <w:t>-2014</w:t>
      </w:r>
      <w:r w:rsidR="00797233">
        <w:t>.</w:t>
      </w:r>
      <w:r w:rsidR="00203401">
        <w:t xml:space="preserve"> The</w:t>
      </w:r>
      <w:r w:rsidR="00797233">
        <w:t xml:space="preserve"> bill was </w:t>
      </w:r>
      <w:r w:rsidR="00F702DE">
        <w:t xml:space="preserve">passed overwhelmingly in </w:t>
      </w:r>
      <w:r w:rsidR="001F0398">
        <w:t>C</w:t>
      </w:r>
      <w:r w:rsidR="00F702DE">
        <w:t xml:space="preserve">ongress and </w:t>
      </w:r>
      <w:r w:rsidR="002F0594" w:rsidRPr="002F0594">
        <w:t xml:space="preserve">signed by George </w:t>
      </w:r>
      <w:r w:rsidR="003B0058">
        <w:t xml:space="preserve">W. </w:t>
      </w:r>
      <w:r w:rsidR="002F0594" w:rsidRPr="002F0594">
        <w:t>Bush. Yet,</w:t>
      </w:r>
      <w:r w:rsidR="00E82D88" w:rsidRPr="002F0594">
        <w:t xml:space="preserve"> </w:t>
      </w:r>
      <w:r w:rsidR="00C973E6" w:rsidRPr="002F0594">
        <w:t xml:space="preserve">the </w:t>
      </w:r>
      <w:r w:rsidR="007D4746" w:rsidRPr="002F0594">
        <w:t xml:space="preserve">ban on </w:t>
      </w:r>
      <w:r w:rsidR="002F0594" w:rsidRPr="002F0594">
        <w:t xml:space="preserve">low efficiency </w:t>
      </w:r>
      <w:r w:rsidR="007D4746" w:rsidRPr="002F0594">
        <w:t>incandescent lightbulb</w:t>
      </w:r>
      <w:r w:rsidR="00BC503D">
        <w:t>s</w:t>
      </w:r>
      <w:r w:rsidR="008026F7">
        <w:t xml:space="preserve"> has</w:t>
      </w:r>
      <w:r w:rsidR="005A2756">
        <w:t xml:space="preserve"> faced</w:t>
      </w:r>
      <w:r w:rsidR="008026F7">
        <w:t xml:space="preserve"> considerable</w:t>
      </w:r>
      <w:r w:rsidR="005A2756">
        <w:t xml:space="preserve"> opposition</w:t>
      </w:r>
      <w:r w:rsidR="007D4746" w:rsidRPr="002F0594">
        <w:t>.</w:t>
      </w:r>
      <w:r w:rsidR="006B505F">
        <w:t xml:space="preserve"> This is evidenced by the failed</w:t>
      </w:r>
      <w:r w:rsidR="005A2756">
        <w:t xml:space="preserve"> bills</w:t>
      </w:r>
      <w:r w:rsidR="00880966">
        <w:t>: “</w:t>
      </w:r>
      <w:r w:rsidR="002F0594" w:rsidRPr="002F0594">
        <w:rPr>
          <w:b/>
          <w:u w:val="single"/>
        </w:rPr>
        <w:t>The Better Use of Light Bulbs Act”</w:t>
      </w:r>
      <w:r w:rsidR="002F0594" w:rsidRPr="002F0594">
        <w:t xml:space="preserve"> </w:t>
      </w:r>
      <w:r w:rsidR="002F0594">
        <w:t>of 2011 and the “</w:t>
      </w:r>
      <w:r w:rsidR="002F0594" w:rsidRPr="002F0594">
        <w:rPr>
          <w:b/>
          <w:u w:val="single"/>
        </w:rPr>
        <w:t>Lightbulb Freedom of Choice Act</w:t>
      </w:r>
      <w:r w:rsidR="002F0594">
        <w:t>” of 2011</w:t>
      </w:r>
      <w:r w:rsidR="00027888">
        <w:t>.</w:t>
      </w:r>
      <w:r w:rsidR="002816F6">
        <w:t xml:space="preserve"> </w:t>
      </w:r>
      <w:r w:rsidR="00F46613">
        <w:t>Since 2011</w:t>
      </w:r>
      <w:r w:rsidR="00BC503D">
        <w:t>,</w:t>
      </w:r>
      <w:r w:rsidR="00F46613">
        <w:t xml:space="preserve"> when LEDs became available for residential usage, </w:t>
      </w:r>
      <w:r w:rsidR="00E82D88">
        <w:t>there has been a widespread push for LEDs to be more readily available</w:t>
      </w:r>
      <w:r w:rsidR="00FE4520">
        <w:t xml:space="preserve">. </w:t>
      </w:r>
      <w:r w:rsidR="00CB1097">
        <w:t>According to the U.S. Department of Energy, 34.6%</w:t>
      </w:r>
      <w:r w:rsidR="00546D93">
        <w:t xml:space="preserve"> of households </w:t>
      </w:r>
      <w:r w:rsidR="00F46613">
        <w:t>owned incandescent lightbulbs in 2015</w:t>
      </w:r>
      <w:r w:rsidR="00546D93">
        <w:t>, compared to the 48.1% of LEDs and CFL lighting</w:t>
      </w:r>
      <w:r w:rsidR="00E052D8">
        <w:t xml:space="preserve"> </w:t>
      </w:r>
      <w:r w:rsidR="00C03646">
        <w:t>(</w:t>
      </w:r>
      <w:proofErr w:type="spellStart"/>
      <w:r w:rsidR="00B30264">
        <w:t>Bucitelli</w:t>
      </w:r>
      <w:proofErr w:type="spellEnd"/>
      <w:r w:rsidR="00B30264">
        <w:t>, 2017</w:t>
      </w:r>
      <w:r w:rsidR="00C62F84">
        <w:t>). LEDs</w:t>
      </w:r>
      <w:r w:rsidR="002F0594">
        <w:t xml:space="preserve"> have a</w:t>
      </w:r>
      <w:r w:rsidR="00546D93">
        <w:t xml:space="preserve"> large</w:t>
      </w:r>
      <w:r w:rsidR="002F0594">
        <w:t xml:space="preserve"> share</w:t>
      </w:r>
      <w:r w:rsidR="006B505F">
        <w:t xml:space="preserve"> of the residential lighting marketplace</w:t>
      </w:r>
      <w:r w:rsidR="002F0594">
        <w:t xml:space="preserve">, </w:t>
      </w:r>
      <w:r w:rsidR="006B505F">
        <w:t xml:space="preserve">but </w:t>
      </w:r>
      <w:r w:rsidR="002F0594">
        <w:t xml:space="preserve">it seems </w:t>
      </w:r>
      <w:r w:rsidR="00BC503D">
        <w:t>many</w:t>
      </w:r>
      <w:r w:rsidR="002F0594">
        <w:t xml:space="preserve"> people </w:t>
      </w:r>
      <w:r w:rsidR="00A7727F">
        <w:t xml:space="preserve">still </w:t>
      </w:r>
      <w:r w:rsidR="00BC503D">
        <w:t>w</w:t>
      </w:r>
      <w:r w:rsidR="002F0594">
        <w:t>ant to hold onto the least efficient incandescent bulbs</w:t>
      </w:r>
      <w:r w:rsidR="00A35BC9">
        <w:t xml:space="preserve">. This </w:t>
      </w:r>
      <w:r w:rsidR="00D2251F">
        <w:t xml:space="preserve">leads us to the heuristics conclusions that </w:t>
      </w:r>
      <w:r w:rsidR="00A40FAC">
        <w:t xml:space="preserve">the </w:t>
      </w:r>
      <w:r w:rsidR="00D2251F">
        <w:t xml:space="preserve">economists have put forward. </w:t>
      </w:r>
      <w:r w:rsidR="00F46613">
        <w:t xml:space="preserve"> </w:t>
      </w:r>
    </w:p>
    <w:p w14:paraId="32F22FDF" w14:textId="1F82AC5F" w:rsidR="003C3956" w:rsidRDefault="00984E3B" w:rsidP="00EA517B">
      <w:pPr>
        <w:spacing w:line="480" w:lineRule="auto"/>
        <w:ind w:firstLine="720"/>
      </w:pPr>
      <w:r>
        <w:lastRenderedPageBreak/>
        <w:t>University of Wisconsin u</w:t>
      </w:r>
      <w:r w:rsidR="00C973E6">
        <w:t xml:space="preserve">ndergraduate Travis Cao set out to try to model this behavior. Using a Monte Carlo simulation, </w:t>
      </w:r>
      <w:r w:rsidR="000541AB">
        <w:t xml:space="preserve">Cao </w:t>
      </w:r>
      <w:r w:rsidR="00010426">
        <w:t>attempted</w:t>
      </w:r>
      <w:r w:rsidR="000541AB">
        <w:t xml:space="preserve"> to explain </w:t>
      </w:r>
      <w:r w:rsidR="006C07CA">
        <w:t>why people are</w:t>
      </w:r>
      <w:r w:rsidR="00010426">
        <w:t xml:space="preserve"> not</w:t>
      </w:r>
      <w:r w:rsidR="006C07CA">
        <w:t xml:space="preserve"> as willing to switch to LED lightbulbs</w:t>
      </w:r>
      <w:r w:rsidR="000541AB">
        <w:t xml:space="preserve">. He modeled </w:t>
      </w:r>
      <w:r w:rsidR="00B572FB">
        <w:t xml:space="preserve">middle class </w:t>
      </w:r>
      <w:r w:rsidR="000541AB">
        <w:t>U</w:t>
      </w:r>
      <w:r w:rsidR="00D85315">
        <w:t>.</w:t>
      </w:r>
      <w:r w:rsidR="000541AB">
        <w:t>S</w:t>
      </w:r>
      <w:r w:rsidR="00D85315">
        <w:t>.</w:t>
      </w:r>
      <w:r w:rsidR="000541AB">
        <w:t xml:space="preserve"> consumers who are interested in buying a lightbulb for home use. </w:t>
      </w:r>
      <w:r w:rsidR="00EA517B">
        <w:t xml:space="preserve">He tried to find </w:t>
      </w:r>
      <w:r w:rsidR="00A40FAC">
        <w:t>with what lightbulb would</w:t>
      </w:r>
      <w:r w:rsidR="00EA517B">
        <w:t xml:space="preserve"> consumers would be better off</w:t>
      </w:r>
      <w:r w:rsidR="00A40FAC">
        <w:t xml:space="preserve"> with</w:t>
      </w:r>
      <w:r w:rsidR="00EA517B">
        <w:t>. For this</w:t>
      </w:r>
      <w:r w:rsidR="0055464B">
        <w:t xml:space="preserve">, </w:t>
      </w:r>
      <w:r w:rsidR="00EA517B">
        <w:t>he used data from Walmart and Target to get the average price</w:t>
      </w:r>
      <w:r w:rsidR="00A40FAC">
        <w:t xml:space="preserve">s and price difference </w:t>
      </w:r>
      <w:r w:rsidR="00EA517B">
        <w:t>between the two bulbs, and corrected for brightness. Cao used many other inputs into his model including</w:t>
      </w:r>
      <w:r w:rsidR="003F6C15">
        <w:t>:</w:t>
      </w:r>
      <w:r w:rsidR="00EA517B">
        <w:t xml:space="preserve"> the price for electricity, discounting </w:t>
      </w:r>
      <w:r w:rsidR="00546D93">
        <w:t>for</w:t>
      </w:r>
      <w:r w:rsidR="00EA517B">
        <w:t xml:space="preserve"> the future, </w:t>
      </w:r>
      <w:r w:rsidR="003F6C15">
        <w:t xml:space="preserve">an </w:t>
      </w:r>
      <w:r w:rsidR="005540EE">
        <w:t>“</w:t>
      </w:r>
      <w:r w:rsidR="003F6C15">
        <w:t>unfamiliarity</w:t>
      </w:r>
      <w:r w:rsidR="005540EE">
        <w:t xml:space="preserve"> of using the LED bulbs”</w:t>
      </w:r>
      <w:r w:rsidR="003F6C15">
        <w:t xml:space="preserve"> cost, </w:t>
      </w:r>
      <w:r w:rsidR="00EA517B">
        <w:t xml:space="preserve">along with how long the bulb would be on </w:t>
      </w:r>
      <w:r w:rsidR="0055464B">
        <w:t xml:space="preserve">for </w:t>
      </w:r>
      <w:r w:rsidR="00EA517B">
        <w:t xml:space="preserve">and the probability of it failing. He used </w:t>
      </w:r>
      <w:r w:rsidR="007C41BE">
        <w:t>all</w:t>
      </w:r>
      <w:r w:rsidR="00EA517B">
        <w:t xml:space="preserve"> this information to </w:t>
      </w:r>
      <w:r w:rsidR="007C41BE">
        <w:t>try to predict</w:t>
      </w:r>
      <w:r w:rsidR="00EA517B">
        <w:t xml:space="preserve"> where the income cutoff was for people switching from incandescent bulbs to LEDs. </w:t>
      </w:r>
      <w:r w:rsidR="003C3956">
        <w:t xml:space="preserve">Using these </w:t>
      </w:r>
      <w:r w:rsidR="00010426">
        <w:t>multiple</w:t>
      </w:r>
      <w:r w:rsidR="003C3956">
        <w:t xml:space="preserve"> factors and running the</w:t>
      </w:r>
      <w:r w:rsidR="00EA517B">
        <w:t xml:space="preserve"> </w:t>
      </w:r>
      <w:r w:rsidR="00B35A40">
        <w:t xml:space="preserve">statistical </w:t>
      </w:r>
      <w:r w:rsidR="003C3956">
        <w:t xml:space="preserve">simulation 500 times to </w:t>
      </w:r>
      <w:r w:rsidR="0092051A">
        <w:t xml:space="preserve">reduce </w:t>
      </w:r>
      <w:r w:rsidR="006F1CBC">
        <w:t>bias</w:t>
      </w:r>
      <w:r w:rsidR="003C3956">
        <w:t xml:space="preserve">, we arrive at </w:t>
      </w:r>
      <w:r w:rsidR="00CA2A1F">
        <w:t>Figure 1</w:t>
      </w:r>
      <w:r w:rsidR="003C3956">
        <w:t>.</w:t>
      </w:r>
    </w:p>
    <w:p w14:paraId="50A240C0" w14:textId="4C25E162" w:rsidR="00594BCA" w:rsidRDefault="002E1CEA" w:rsidP="007D4746">
      <w:pPr>
        <w:spacing w:line="480" w:lineRule="auto"/>
        <w:ind w:firstLine="720"/>
        <w:rPr>
          <w:b/>
        </w:rPr>
      </w:pPr>
      <w:r>
        <w:rPr>
          <w:b/>
        </w:rPr>
        <w:t>Fig</w:t>
      </w:r>
      <w:r w:rsidR="00785B3C">
        <w:rPr>
          <w:b/>
        </w:rPr>
        <w:t>ure</w:t>
      </w:r>
      <w:r>
        <w:rPr>
          <w:b/>
        </w:rPr>
        <w:t xml:space="preserve"> 1:</w:t>
      </w:r>
    </w:p>
    <w:p w14:paraId="0235365D" w14:textId="3730F24A" w:rsidR="00594BCA" w:rsidRPr="002E1CEA" w:rsidRDefault="00594BCA" w:rsidP="007D4746">
      <w:pPr>
        <w:spacing w:line="480" w:lineRule="auto"/>
        <w:ind w:firstLine="720"/>
        <w:rPr>
          <w:b/>
        </w:rPr>
      </w:pPr>
      <w:r>
        <w:rPr>
          <w:b/>
          <w:noProof/>
        </w:rPr>
        <w:drawing>
          <wp:inline distT="0" distB="0" distL="0" distR="0" wp14:anchorId="6BCBDACB" wp14:editId="29D3394A">
            <wp:extent cx="5943600" cy="202628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26285"/>
                    </a:xfrm>
                    <a:prstGeom prst="rect">
                      <a:avLst/>
                    </a:prstGeom>
                  </pic:spPr>
                </pic:pic>
              </a:graphicData>
            </a:graphic>
          </wp:inline>
        </w:drawing>
      </w:r>
    </w:p>
    <w:p w14:paraId="497FEB45" w14:textId="4F2441DA" w:rsidR="00B16549" w:rsidRDefault="00B16549" w:rsidP="007355F8">
      <w:pPr>
        <w:spacing w:line="480" w:lineRule="auto"/>
        <w:ind w:firstLine="720"/>
      </w:pPr>
      <w:r>
        <w:t xml:space="preserve">Each point in </w:t>
      </w:r>
      <w:r w:rsidR="002E1CEA">
        <w:t xml:space="preserve">the </w:t>
      </w:r>
      <w:r w:rsidR="00785B3C">
        <w:t>F</w:t>
      </w:r>
      <w:r w:rsidR="002E1CEA">
        <w:t>igure 1</w:t>
      </w:r>
      <w:r w:rsidR="00010426">
        <w:t xml:space="preserve"> </w:t>
      </w:r>
      <w:r>
        <w:t>graph</w:t>
      </w:r>
      <w:r w:rsidR="006857DE">
        <w:t>s</w:t>
      </w:r>
      <w:r>
        <w:t xml:space="preserve"> represent an income cutoff point</w:t>
      </w:r>
      <w:r w:rsidR="00323DE9">
        <w:t xml:space="preserve"> given </w:t>
      </w:r>
      <w:r w:rsidR="00EE2D13">
        <w:t xml:space="preserve">a </w:t>
      </w:r>
      <w:r w:rsidR="00323DE9">
        <w:t>discount rate</w:t>
      </w:r>
      <w:r w:rsidR="00E81698">
        <w:t xml:space="preserve">, meaning that </w:t>
      </w:r>
      <w:r w:rsidR="00EE2D13">
        <w:t xml:space="preserve">each point </w:t>
      </w:r>
      <w:r w:rsidR="00E81698">
        <w:t xml:space="preserve">is the income </w:t>
      </w:r>
      <w:r w:rsidR="00B16676">
        <w:t>where consumers</w:t>
      </w:r>
      <w:r w:rsidR="00E81698">
        <w:t xml:space="preserve"> switch from incandescent lightbulbs (INC) to LEDs</w:t>
      </w:r>
      <w:r>
        <w:t>.</w:t>
      </w:r>
      <w:r w:rsidR="00323DE9">
        <w:t xml:space="preserve"> As </w:t>
      </w:r>
      <w:r w:rsidR="00B16676">
        <w:t xml:space="preserve">the </w:t>
      </w:r>
      <w:r w:rsidR="00323DE9">
        <w:t xml:space="preserve">discount </w:t>
      </w:r>
      <w:r w:rsidR="006F1CBC">
        <w:t>factor</w:t>
      </w:r>
      <w:r w:rsidR="00EE2D13">
        <w:t xml:space="preserve"> (x axis)</w:t>
      </w:r>
      <w:r w:rsidR="00323DE9">
        <w:t xml:space="preserve"> goes up, the more patient the person would be.</w:t>
      </w:r>
      <w:r w:rsidR="00E64767">
        <w:t xml:space="preserve"> The more you value your future, </w:t>
      </w:r>
      <w:r w:rsidR="0041116B">
        <w:t xml:space="preserve">you </w:t>
      </w:r>
      <w:r w:rsidR="00E64767">
        <w:t>save over the long run</w:t>
      </w:r>
      <w:r w:rsidR="009B0024">
        <w:t xml:space="preserve">, </w:t>
      </w:r>
      <w:r w:rsidR="0041116B">
        <w:t>but to the increased of price in</w:t>
      </w:r>
      <w:r w:rsidR="009B0024">
        <w:t xml:space="preserve"> the present</w:t>
      </w:r>
      <w:r w:rsidR="00E64767">
        <w:t>.</w:t>
      </w:r>
      <w:r>
        <w:t xml:space="preserve"> The 40-Watt bulbs </w:t>
      </w:r>
      <w:r w:rsidR="00643AAE">
        <w:t>converge faster than the 60-Watt lightbulb</w:t>
      </w:r>
      <w:r w:rsidR="00EE2D13">
        <w:t>s</w:t>
      </w:r>
      <w:r w:rsidR="006857DE">
        <w:t xml:space="preserve"> due to the lower prices of the 60-Watt </w:t>
      </w:r>
      <w:r w:rsidR="00C05D8E">
        <w:t xml:space="preserve">LED </w:t>
      </w:r>
      <w:r w:rsidR="006857DE">
        <w:t>bulbs</w:t>
      </w:r>
      <w:r w:rsidR="00643AAE">
        <w:t>.</w:t>
      </w:r>
      <w:r w:rsidR="006857DE">
        <w:t xml:space="preserve"> </w:t>
      </w:r>
      <w:r w:rsidR="00C05D8E">
        <w:t>60-Watt bulbs</w:t>
      </w:r>
      <w:r w:rsidR="006857DE">
        <w:t xml:space="preserve"> are</w:t>
      </w:r>
      <w:r w:rsidR="00643AAE">
        <w:t xml:space="preserve"> only 1 to 1.50 dollars more than their incandescent counterparts</w:t>
      </w:r>
      <w:r w:rsidR="006857DE">
        <w:t>, w</w:t>
      </w:r>
      <w:r w:rsidR="00643AAE">
        <w:t xml:space="preserve">hile the 40-Watt bulbs are </w:t>
      </w:r>
      <w:r w:rsidR="00643AAE">
        <w:lastRenderedPageBreak/>
        <w:t>about 3 dollars</w:t>
      </w:r>
      <w:r w:rsidR="00B16676">
        <w:t xml:space="preserve"> more</w:t>
      </w:r>
      <w:r w:rsidR="00643AAE">
        <w:t xml:space="preserve">.  </w:t>
      </w:r>
      <w:r w:rsidR="006857DE">
        <w:t xml:space="preserve">The shaded blue color on each of the points </w:t>
      </w:r>
      <w:r w:rsidR="00B16676">
        <w:t>demonstrates</w:t>
      </w:r>
      <w:r w:rsidR="006857DE">
        <w:t xml:space="preserve"> how </w:t>
      </w:r>
      <w:r w:rsidR="00B126C1">
        <w:t>long</w:t>
      </w:r>
      <w:r w:rsidR="006857DE">
        <w:t xml:space="preserve"> each consumer </w:t>
      </w:r>
      <w:r w:rsidR="00B126C1">
        <w:t>has</w:t>
      </w:r>
      <w:r w:rsidR="006857DE">
        <w:t xml:space="preserve"> the </w:t>
      </w:r>
      <w:r w:rsidR="00E732EB">
        <w:t>lightbulb</w:t>
      </w:r>
      <w:r w:rsidR="00B126C1">
        <w:t xml:space="preserve"> on for</w:t>
      </w:r>
      <w:r w:rsidR="00E732EB">
        <w:t xml:space="preserve">. </w:t>
      </w:r>
      <w:r w:rsidR="00323DE9">
        <w:t>With the larger cost difference, only the high income</w:t>
      </w:r>
      <w:r w:rsidR="00E732EB">
        <w:t xml:space="preserve"> and </w:t>
      </w:r>
      <w:r w:rsidR="006857DE">
        <w:t>patient</w:t>
      </w:r>
      <w:r w:rsidR="00323DE9">
        <w:t xml:space="preserve"> consumers would buy LEDs. </w:t>
      </w:r>
    </w:p>
    <w:p w14:paraId="69AF8A26" w14:textId="6AAAF018" w:rsidR="002E1CEA" w:rsidRDefault="002E1CEA" w:rsidP="007355F8">
      <w:pPr>
        <w:spacing w:line="480" w:lineRule="auto"/>
        <w:ind w:firstLine="720"/>
        <w:rPr>
          <w:b/>
        </w:rPr>
      </w:pPr>
      <w:r>
        <w:rPr>
          <w:b/>
        </w:rPr>
        <w:t>Figure 2:</w:t>
      </w:r>
    </w:p>
    <w:p w14:paraId="2B1E256A" w14:textId="6B247267" w:rsidR="00594BCA" w:rsidRPr="002E1CEA" w:rsidRDefault="00594BCA" w:rsidP="007355F8">
      <w:pPr>
        <w:spacing w:line="480" w:lineRule="auto"/>
        <w:ind w:firstLine="720"/>
        <w:rPr>
          <w:b/>
        </w:rPr>
      </w:pPr>
      <w:r>
        <w:rPr>
          <w:b/>
          <w:noProof/>
        </w:rPr>
        <w:drawing>
          <wp:inline distT="0" distB="0" distL="0" distR="0" wp14:anchorId="7045DA84" wp14:editId="3B11A067">
            <wp:extent cx="5943600" cy="2035175"/>
            <wp:effectExtent l="0" t="0" r="0" b="317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35175"/>
                    </a:xfrm>
                    <a:prstGeom prst="rect">
                      <a:avLst/>
                    </a:prstGeom>
                  </pic:spPr>
                </pic:pic>
              </a:graphicData>
            </a:graphic>
          </wp:inline>
        </w:drawing>
      </w:r>
    </w:p>
    <w:p w14:paraId="7BC7607B" w14:textId="796C982D" w:rsidR="006857DE" w:rsidRDefault="00E732EB" w:rsidP="007D4746">
      <w:pPr>
        <w:spacing w:line="480" w:lineRule="auto"/>
        <w:ind w:firstLine="720"/>
      </w:pPr>
      <w:r>
        <w:t xml:space="preserve">If we assume that the hours with the lights on are the same for all bulbs, we get the graphs </w:t>
      </w:r>
      <w:r w:rsidR="00DE5244">
        <w:t xml:space="preserve">in </w:t>
      </w:r>
      <w:r w:rsidR="00785B3C">
        <w:t>F</w:t>
      </w:r>
      <w:r w:rsidR="002E1CEA">
        <w:t>igure 2</w:t>
      </w:r>
      <w:r>
        <w:t xml:space="preserve">. </w:t>
      </w:r>
      <w:r w:rsidR="00832A38">
        <w:t>If</w:t>
      </w:r>
      <w:r>
        <w:t xml:space="preserve"> consumers </w:t>
      </w:r>
      <w:r w:rsidR="00957227">
        <w:t xml:space="preserve">even </w:t>
      </w:r>
      <w:r>
        <w:t>slightly discount the future, they will buy incandescent</w:t>
      </w:r>
      <w:r w:rsidR="00E81698">
        <w:t xml:space="preserve"> lightbulb</w:t>
      </w:r>
      <w:r w:rsidR="00B16676">
        <w:t xml:space="preserve">. </w:t>
      </w:r>
      <w:r w:rsidR="005C1715">
        <w:t>The line does not cross the average</w:t>
      </w:r>
      <w:r w:rsidR="00D17921">
        <w:t xml:space="preserve"> US income for 2016 (Current Population Survey 2017).</w:t>
      </w:r>
      <w:r w:rsidR="00E81698">
        <w:t xml:space="preserve"> </w:t>
      </w:r>
      <w:r w:rsidR="00B16676">
        <w:t>Therefore, o</w:t>
      </w:r>
      <w:r w:rsidR="00E81698">
        <w:t>nly a small, high income, and patient fraction of consumers will purchase LEDs. This shows the energy paradox in action! Since people do</w:t>
      </w:r>
      <w:r w:rsidR="00B16676">
        <w:t xml:space="preserve"> not</w:t>
      </w:r>
      <w:r w:rsidR="00E81698">
        <w:t xml:space="preserve"> value the future as much</w:t>
      </w:r>
      <w:r w:rsidR="00B16676">
        <w:t xml:space="preserve"> as current costs</w:t>
      </w:r>
      <w:r w:rsidR="00E81698">
        <w:t>, they are missing out on savings that could be bought using an LED</w:t>
      </w:r>
      <w:r w:rsidR="00C62F84">
        <w:t>, and instead go for the cheaper</w:t>
      </w:r>
      <w:r w:rsidR="00B865C8">
        <w:t xml:space="preserve"> upfront</w:t>
      </w:r>
      <w:r w:rsidR="00C62F84">
        <w:t xml:space="preserve"> option</w:t>
      </w:r>
      <w:r w:rsidR="00E81698">
        <w:t xml:space="preserve">. </w:t>
      </w:r>
    </w:p>
    <w:p w14:paraId="1D1827A6" w14:textId="66064741" w:rsidR="00DE5244" w:rsidRDefault="00DE5244" w:rsidP="007D4746">
      <w:pPr>
        <w:spacing w:line="480" w:lineRule="auto"/>
        <w:ind w:firstLine="720"/>
        <w:rPr>
          <w:b/>
        </w:rPr>
      </w:pPr>
      <w:r>
        <w:rPr>
          <w:b/>
        </w:rPr>
        <w:t>Figure 3:</w:t>
      </w:r>
    </w:p>
    <w:p w14:paraId="22DF1AA0" w14:textId="5253941B" w:rsidR="006857DE" w:rsidRDefault="00A363FA" w:rsidP="007D4746">
      <w:pPr>
        <w:spacing w:line="480" w:lineRule="auto"/>
        <w:ind w:firstLine="720"/>
      </w:pPr>
      <w:r>
        <w:rPr>
          <w:noProof/>
        </w:rPr>
        <w:drawing>
          <wp:inline distT="0" distB="0" distL="0" distR="0" wp14:anchorId="6B65AE24" wp14:editId="327E331C">
            <wp:extent cx="5067300" cy="1732410"/>
            <wp:effectExtent l="0" t="0" r="0" b="127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2543" cy="1737621"/>
                    </a:xfrm>
                    <a:prstGeom prst="rect">
                      <a:avLst/>
                    </a:prstGeom>
                  </pic:spPr>
                </pic:pic>
              </a:graphicData>
            </a:graphic>
          </wp:inline>
        </w:drawing>
      </w:r>
    </w:p>
    <w:p w14:paraId="0D594920" w14:textId="317A3426" w:rsidR="005C1715" w:rsidRDefault="00FC4D0C" w:rsidP="005C1715">
      <w:pPr>
        <w:spacing w:line="480" w:lineRule="auto"/>
        <w:ind w:firstLine="720"/>
      </w:pPr>
      <w:r>
        <w:lastRenderedPageBreak/>
        <w:t xml:space="preserve">On the other hand, </w:t>
      </w:r>
      <w:r w:rsidR="00680C8C">
        <w:t>assuming</w:t>
      </w:r>
      <w:r>
        <w:t xml:space="preserve"> the prices of the LED and incandescent lightbulbs were the same, you would get the graphs </w:t>
      </w:r>
      <w:r w:rsidR="00DE5244">
        <w:t xml:space="preserve">in </w:t>
      </w:r>
      <w:r w:rsidR="00680C8C">
        <w:t>F</w:t>
      </w:r>
      <w:r w:rsidR="00DE5244">
        <w:t>igure 3</w:t>
      </w:r>
      <w:r>
        <w:t xml:space="preserve">. </w:t>
      </w:r>
      <w:r w:rsidR="00B16676">
        <w:t>Using the model, t</w:t>
      </w:r>
      <w:r>
        <w:t xml:space="preserve">he income cutoffs for switching to LED drastically changes. When consumers perceive future savings, or the discount factor is close to </w:t>
      </w:r>
      <w:r w:rsidR="00C62F84">
        <w:t>one</w:t>
      </w:r>
      <w:r>
        <w:t xml:space="preserve">, almost everyone would prefer the LED lightbulb. Essentially, as LEDs get cheaper, </w:t>
      </w:r>
      <w:r w:rsidR="005C1715">
        <w:t>the more people will buy them (supply and demand, right?).</w:t>
      </w:r>
      <w:r w:rsidR="009205E4">
        <w:t xml:space="preserve"> </w:t>
      </w:r>
      <w:r w:rsidR="005C1715">
        <w:t>If the lightbulbs were cheaper</w:t>
      </w:r>
      <w:r w:rsidR="00B16676">
        <w:t>,</w:t>
      </w:r>
      <w:r w:rsidR="005C1715">
        <w:t xml:space="preserve"> then they could be adopted by the average</w:t>
      </w:r>
      <w:r w:rsidR="009205E4">
        <w:t xml:space="preserve"> income</w:t>
      </w:r>
      <w:r w:rsidR="005C1715">
        <w:t xml:space="preserve">, but patient, US </w:t>
      </w:r>
      <w:r w:rsidR="006565AF">
        <w:t>consumer. Although</w:t>
      </w:r>
      <w:r w:rsidR="005C1715">
        <w:t xml:space="preserve"> this seems to be very optimistic</w:t>
      </w:r>
      <w:r w:rsidR="00C62F84">
        <w:t xml:space="preserve"> given what we’ve seen</w:t>
      </w:r>
      <w:r w:rsidR="005C1715">
        <w:t xml:space="preserve">, it isn’t without merit. According to the Department of Energy in 2013, LED prices have dropped 85% </w:t>
      </w:r>
      <w:r w:rsidR="002816F6">
        <w:t>from 2008 to 2013.</w:t>
      </w:r>
      <w:r w:rsidR="005C1715">
        <w:t xml:space="preserve"> (</w:t>
      </w:r>
      <w:r w:rsidR="008F56E3" w:rsidRPr="00B30264">
        <w:t>Buccitelli</w:t>
      </w:r>
      <w:r w:rsidR="008F56E3" w:rsidRPr="008F56E3">
        <w:t xml:space="preserve"> et al</w:t>
      </w:r>
      <w:r w:rsidR="008F56E3">
        <w:t>, 2017</w:t>
      </w:r>
      <w:r w:rsidR="005C1715">
        <w:t>)</w:t>
      </w:r>
      <w:r w:rsidR="006565AF">
        <w:t xml:space="preserve">. </w:t>
      </w:r>
      <w:r w:rsidR="002816F6">
        <w:t>With the falling price,</w:t>
      </w:r>
      <w:r w:rsidR="00660719">
        <w:t xml:space="preserve"> Cao predicted more people would buy LEDs</w:t>
      </w:r>
      <w:r w:rsidR="00182445">
        <w:t xml:space="preserve">, as shown by </w:t>
      </w:r>
      <w:r w:rsidR="00913308">
        <w:t xml:space="preserve">the cutoff line intersecting the average US income in </w:t>
      </w:r>
      <w:r w:rsidR="00785B3C">
        <w:t>F</w:t>
      </w:r>
      <w:r w:rsidR="00913308">
        <w:t>igure 4</w:t>
      </w:r>
      <w:r w:rsidR="00660719">
        <w:t xml:space="preserve">. This </w:t>
      </w:r>
      <w:r w:rsidR="006565AF">
        <w:t>could cause some of the associated costs that Cao had in his model</w:t>
      </w:r>
      <w:r w:rsidR="00B16676">
        <w:t>, l</w:t>
      </w:r>
      <w:r w:rsidR="006565AF">
        <w:t>ike a cost for unfamiliarity</w:t>
      </w:r>
      <w:r w:rsidR="00802E1F">
        <w:t xml:space="preserve"> for using LEDs</w:t>
      </w:r>
      <w:r w:rsidR="00B16676">
        <w:t>,</w:t>
      </w:r>
      <w:r w:rsidR="006565AF">
        <w:t xml:space="preserve"> to also decrease, making them even cheaper in the real world.</w:t>
      </w:r>
    </w:p>
    <w:p w14:paraId="17873E60" w14:textId="240357A3" w:rsidR="00DE5244" w:rsidRPr="00DE5244" w:rsidRDefault="00DE5244" w:rsidP="005C1715">
      <w:pPr>
        <w:spacing w:line="480" w:lineRule="auto"/>
        <w:ind w:firstLine="720"/>
        <w:rPr>
          <w:b/>
        </w:rPr>
      </w:pPr>
      <w:r>
        <w:rPr>
          <w:b/>
        </w:rPr>
        <w:t>Fig 4:</w:t>
      </w:r>
    </w:p>
    <w:p w14:paraId="019B13CE" w14:textId="75C20119" w:rsidR="006857DE" w:rsidRDefault="00A363FA" w:rsidP="005C1715">
      <w:pPr>
        <w:spacing w:line="480" w:lineRule="auto"/>
        <w:ind w:firstLine="720"/>
      </w:pPr>
      <w:r>
        <w:rPr>
          <w:noProof/>
        </w:rPr>
        <w:drawing>
          <wp:inline distT="0" distB="0" distL="0" distR="0" wp14:anchorId="2EB119E4" wp14:editId="34FEE797">
            <wp:extent cx="5943600" cy="2026285"/>
            <wp:effectExtent l="0" t="0" r="0" b="0"/>
            <wp:docPr id="6" name="Picture 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26285"/>
                    </a:xfrm>
                    <a:prstGeom prst="rect">
                      <a:avLst/>
                    </a:prstGeom>
                  </pic:spPr>
                </pic:pic>
              </a:graphicData>
            </a:graphic>
          </wp:inline>
        </w:drawing>
      </w:r>
    </w:p>
    <w:p w14:paraId="4067225E" w14:textId="3F89253D" w:rsidR="000E3A4D" w:rsidRDefault="00DE3987" w:rsidP="005D623B">
      <w:pPr>
        <w:spacing w:line="480" w:lineRule="auto"/>
        <w:ind w:firstLine="720"/>
      </w:pPr>
      <w:r>
        <w:t>However, e</w:t>
      </w:r>
      <w:r w:rsidR="00832A38">
        <w:t xml:space="preserve">ven in the </w:t>
      </w:r>
      <w:r w:rsidR="006565AF">
        <w:t>best-case</w:t>
      </w:r>
      <w:r w:rsidR="00832A38">
        <w:t xml:space="preserve"> scenario, where the price of LEDs </w:t>
      </w:r>
      <w:proofErr w:type="gramStart"/>
      <w:r w:rsidR="00832A38">
        <w:t>are</w:t>
      </w:r>
      <w:proofErr w:type="gramEnd"/>
      <w:r w:rsidR="00832A38">
        <w:t xml:space="preserve"> the same as incandescent</w:t>
      </w:r>
      <w:r w:rsidR="000E3A4D">
        <w:t xml:space="preserve"> bulbs</w:t>
      </w:r>
      <w:r w:rsidR="00832A38">
        <w:t xml:space="preserve">, </w:t>
      </w:r>
      <w:r w:rsidR="006565AF">
        <w:t xml:space="preserve">some assumptions </w:t>
      </w:r>
      <w:r w:rsidR="00C62F84">
        <w:t>are</w:t>
      </w:r>
      <w:r w:rsidR="006565AF">
        <w:t xml:space="preserve"> problematic.</w:t>
      </w:r>
      <w:r w:rsidR="009205E4">
        <w:t xml:space="preserve"> </w:t>
      </w:r>
      <w:r w:rsidR="000E3A4D">
        <w:t xml:space="preserve">The model assumes rational human beings, so a possible place for error is </w:t>
      </w:r>
      <w:r>
        <w:t>the assumption that when</w:t>
      </w:r>
      <w:r w:rsidR="000E3A4D">
        <w:t xml:space="preserve"> LEDs get cheaper, more people </w:t>
      </w:r>
      <w:r w:rsidR="00B00EAE">
        <w:t>would be</w:t>
      </w:r>
      <w:r w:rsidR="000E3A4D">
        <w:t xml:space="preserve"> willing to risk </w:t>
      </w:r>
      <w:r w:rsidR="00043D8D">
        <w:t>switching over to</w:t>
      </w:r>
      <w:r w:rsidR="000E3A4D">
        <w:t xml:space="preserve"> LED</w:t>
      </w:r>
      <w:r w:rsidR="00043D8D">
        <w:t>s</w:t>
      </w:r>
      <w:r w:rsidR="000E3A4D">
        <w:t xml:space="preserve">. </w:t>
      </w:r>
      <w:r w:rsidR="00E64767">
        <w:t xml:space="preserve">To put it another way, </w:t>
      </w:r>
      <w:r w:rsidR="00293C73">
        <w:t xml:space="preserve">Cao assumed that people had no </w:t>
      </w:r>
      <w:r w:rsidR="00957227">
        <w:t xml:space="preserve">innate </w:t>
      </w:r>
      <w:r w:rsidR="00293C73">
        <w:t xml:space="preserve">preference </w:t>
      </w:r>
      <w:r w:rsidR="00293C73">
        <w:lastRenderedPageBreak/>
        <w:t xml:space="preserve">between LEDs and incandescent lightbulbs. </w:t>
      </w:r>
      <w:r w:rsidR="00EE2D13">
        <w:t>Yet</w:t>
      </w:r>
      <w:r w:rsidR="00293C73">
        <w:t xml:space="preserve">, as seen in the legislative history, people love what’s familiar. </w:t>
      </w:r>
    </w:p>
    <w:p w14:paraId="50F2A3D0" w14:textId="16D7CA87" w:rsidR="00636EDD" w:rsidRPr="009A6420" w:rsidRDefault="000E3A4D" w:rsidP="00636EDD">
      <w:pPr>
        <w:spacing w:line="480" w:lineRule="auto"/>
        <w:ind w:firstLine="720"/>
      </w:pPr>
      <w:r>
        <w:t xml:space="preserve">Cao’s work fits squarely in the research </w:t>
      </w:r>
      <w:r w:rsidR="00DE3987">
        <w:t>for</w:t>
      </w:r>
      <w:r>
        <w:t xml:space="preserve"> </w:t>
      </w:r>
      <w:r w:rsidR="00DE3987">
        <w:t xml:space="preserve">exploring </w:t>
      </w:r>
      <w:r>
        <w:t xml:space="preserve">energy paradox. </w:t>
      </w:r>
      <w:r w:rsidR="00B85EFD">
        <w:t xml:space="preserve">Researchers </w:t>
      </w:r>
      <w:r w:rsidR="00DE3987">
        <w:t>attempt</w:t>
      </w:r>
      <w:r>
        <w:t xml:space="preserve"> </w:t>
      </w:r>
      <w:r w:rsidR="00F739E8">
        <w:t xml:space="preserve">to </w:t>
      </w:r>
      <w:r>
        <w:t xml:space="preserve">model </w:t>
      </w:r>
      <w:r w:rsidR="00896E9F">
        <w:t>the</w:t>
      </w:r>
      <w:r>
        <w:t xml:space="preserve"> problem that is ruled by a multitude of </w:t>
      </w:r>
      <w:r w:rsidR="00DE3987">
        <w:t xml:space="preserve">both </w:t>
      </w:r>
      <w:r>
        <w:t xml:space="preserve">irrational and rational factors. </w:t>
      </w:r>
      <w:r w:rsidR="00636EDD">
        <w:t>Th</w:t>
      </w:r>
      <w:r w:rsidR="001C2F94">
        <w:t>is</w:t>
      </w:r>
      <w:r w:rsidR="00636EDD">
        <w:t xml:space="preserve"> model does show that the </w:t>
      </w:r>
      <w:r w:rsidR="009B0024">
        <w:t xml:space="preserve">most </w:t>
      </w:r>
      <w:r w:rsidR="00636EDD">
        <w:t xml:space="preserve">patient consumers do indeed prefer the LEDs, </w:t>
      </w:r>
      <w:r w:rsidR="00B85EFD">
        <w:t xml:space="preserve">something that can be </w:t>
      </w:r>
      <w:r w:rsidR="00DE3987">
        <w:t xml:space="preserve">logically </w:t>
      </w:r>
      <w:r w:rsidR="00896E9F">
        <w:t>reasoned</w:t>
      </w:r>
      <w:r w:rsidR="00636EDD">
        <w:t xml:space="preserve">. </w:t>
      </w:r>
      <w:r w:rsidR="00911155">
        <w:t xml:space="preserve">If you value your future more, why shouldn’t you save a few dollars over the long run? </w:t>
      </w:r>
      <w:r w:rsidR="00636EDD">
        <w:t xml:space="preserve">Intuitively, it also makes sense that as the price for LEDs get closer to the incandescent bulbs, that the </w:t>
      </w:r>
      <w:r w:rsidR="009B0024">
        <w:t xml:space="preserve">more </w:t>
      </w:r>
      <w:r w:rsidR="00407347">
        <w:t>lower</w:t>
      </w:r>
      <w:r w:rsidR="004B4503">
        <w:t xml:space="preserve"> income</w:t>
      </w:r>
      <w:r w:rsidR="00407347">
        <w:t xml:space="preserve"> </w:t>
      </w:r>
      <w:r w:rsidR="009B0024">
        <w:t xml:space="preserve">consumers </w:t>
      </w:r>
      <w:r w:rsidR="004B4503">
        <w:t>would want to buy LEDs</w:t>
      </w:r>
      <w:r w:rsidR="00F35F13">
        <w:rPr>
          <w:b/>
        </w:rPr>
        <w:t xml:space="preserve">. </w:t>
      </w:r>
      <w:r w:rsidR="009A6420">
        <w:t xml:space="preserve">This model </w:t>
      </w:r>
      <w:r w:rsidR="00EA374C">
        <w:t>suggests that</w:t>
      </w:r>
      <w:r w:rsidR="009A6420">
        <w:t xml:space="preserve"> it is mostly upfront costs that keeps LEDs from becoming much more prevalent. </w:t>
      </w:r>
      <w:r w:rsidR="00DE3987">
        <w:t>Whether through</w:t>
      </w:r>
      <w:r w:rsidR="00EA374C">
        <w:t xml:space="preserve"> a subsidy for LEDs</w:t>
      </w:r>
      <w:r w:rsidR="00DE3987">
        <w:t>,</w:t>
      </w:r>
      <w:r w:rsidR="00EA374C">
        <w:t xml:space="preserve"> or a tax on incandescent bulbs</w:t>
      </w:r>
      <w:r w:rsidR="009A6420">
        <w:t>, governments could encourage LED sales</w:t>
      </w:r>
      <w:r w:rsidR="00F739E8">
        <w:t>, without an outright ban</w:t>
      </w:r>
      <w:r w:rsidR="009A6420">
        <w:t xml:space="preserve">.  </w:t>
      </w:r>
    </w:p>
    <w:p w14:paraId="299EC826" w14:textId="5D68CA02" w:rsidR="006B505F" w:rsidRPr="00661E1A" w:rsidRDefault="00785B3C" w:rsidP="00785B3C">
      <w:pPr>
        <w:spacing w:line="480" w:lineRule="auto"/>
        <w:ind w:firstLine="720"/>
      </w:pPr>
      <w:r>
        <w:t xml:space="preserve">The model expands on the previous knowledge of the energy paradox, by correctly identifying </w:t>
      </w:r>
      <w:r w:rsidR="00680C8C">
        <w:t xml:space="preserve">some of </w:t>
      </w:r>
      <w:r>
        <w:t xml:space="preserve">the underlying factors for the energy paradox. The main factor is that people don’t take their future into account when buying lightbulbs, and only see the price in front of them. </w:t>
      </w:r>
      <w:r w:rsidR="003F6C15">
        <w:t xml:space="preserve">We </w:t>
      </w:r>
      <w:r w:rsidR="00A70C4C">
        <w:t xml:space="preserve">then </w:t>
      </w:r>
      <w:r w:rsidR="003F6C15">
        <w:t xml:space="preserve">could transfer the idea of this model to other </w:t>
      </w:r>
      <w:r w:rsidR="002E1A98">
        <w:t xml:space="preserve">inexpensive </w:t>
      </w:r>
      <w:r w:rsidR="003F6C15">
        <w:t xml:space="preserve">energy saving appliances. </w:t>
      </w:r>
      <w:r>
        <w:t>However, m</w:t>
      </w:r>
      <w:r w:rsidR="00AA12FD">
        <w:t>ore empirical data should be collected to further to refine the model itself</w:t>
      </w:r>
      <w:r w:rsidR="00896E9F">
        <w:t xml:space="preserve">, and </w:t>
      </w:r>
      <w:r w:rsidR="00F03115">
        <w:t>to also</w:t>
      </w:r>
      <w:r w:rsidR="00F739E8">
        <w:t xml:space="preserve"> understand</w:t>
      </w:r>
      <w:r w:rsidR="00F03115">
        <w:t xml:space="preserve"> </w:t>
      </w:r>
      <w:r w:rsidR="00896E9F">
        <w:t>its limitations</w:t>
      </w:r>
      <w:r w:rsidR="00AA12FD">
        <w:t xml:space="preserve">. </w:t>
      </w:r>
      <w:r w:rsidR="00F03115">
        <w:t>In addition</w:t>
      </w:r>
      <w:r w:rsidR="00AA12FD">
        <w:t xml:space="preserve">, more models should be </w:t>
      </w:r>
      <w:r w:rsidR="00F03115">
        <w:t>explored</w:t>
      </w:r>
      <w:r w:rsidR="00AA12FD">
        <w:t xml:space="preserve"> on larger, big-ticket items like cars. </w:t>
      </w:r>
      <w:r w:rsidR="00F03115" w:rsidRPr="00661E1A">
        <w:t xml:space="preserve">Given </w:t>
      </w:r>
      <w:r w:rsidR="00F17008" w:rsidRPr="00661E1A">
        <w:t>the larger</w:t>
      </w:r>
      <w:r w:rsidR="00AA12FD" w:rsidRPr="00661E1A">
        <w:t xml:space="preserve"> purchase, </w:t>
      </w:r>
      <w:r w:rsidR="00E64767" w:rsidRPr="00661E1A">
        <w:t xml:space="preserve">the more opportunity for savings and with the larger upfront costs, the consumer would be more </w:t>
      </w:r>
      <w:r w:rsidR="006E526C" w:rsidRPr="00661E1A">
        <w:t>likely to weigh the future as much as the past</w:t>
      </w:r>
      <w:r w:rsidR="00AA12FD" w:rsidRPr="00661E1A">
        <w:t>.</w:t>
      </w:r>
      <w:r w:rsidR="003758ED">
        <w:t xml:space="preserve"> </w:t>
      </w:r>
      <w:r w:rsidR="009354DB">
        <w:t xml:space="preserve">Unlocking the energy paradox could make </w:t>
      </w:r>
      <w:r w:rsidR="003958CC">
        <w:t xml:space="preserve">energy and environmental </w:t>
      </w:r>
      <w:r w:rsidR="009354DB">
        <w:t xml:space="preserve">policies more targeted, and </w:t>
      </w:r>
      <w:r w:rsidR="00A81156">
        <w:t>le</w:t>
      </w:r>
      <w:bookmarkStart w:id="0" w:name="_GoBack"/>
      <w:bookmarkEnd w:id="0"/>
      <w:r w:rsidR="00A81156">
        <w:t>ad to a sustainable and energy efficient future</w:t>
      </w:r>
      <w:r w:rsidR="009354DB">
        <w:t xml:space="preserve">. </w:t>
      </w:r>
    </w:p>
    <w:p w14:paraId="3BD31999" w14:textId="77777777" w:rsidR="002E1A98" w:rsidRDefault="002E1A98" w:rsidP="002E24EA">
      <w:pPr>
        <w:spacing w:line="480" w:lineRule="auto"/>
        <w:rPr>
          <w:b/>
        </w:rPr>
      </w:pPr>
    </w:p>
    <w:p w14:paraId="4035E8C5" w14:textId="77777777" w:rsidR="002E1A98" w:rsidRDefault="002E1A98" w:rsidP="002E24EA">
      <w:pPr>
        <w:spacing w:line="480" w:lineRule="auto"/>
        <w:rPr>
          <w:b/>
        </w:rPr>
      </w:pPr>
    </w:p>
    <w:p w14:paraId="0FA0F034" w14:textId="77777777" w:rsidR="002E1A98" w:rsidRDefault="002E1A98" w:rsidP="002E24EA">
      <w:pPr>
        <w:spacing w:line="480" w:lineRule="auto"/>
        <w:rPr>
          <w:b/>
        </w:rPr>
      </w:pPr>
    </w:p>
    <w:p w14:paraId="2F327F32" w14:textId="703A33CD" w:rsidR="002E24EA" w:rsidRDefault="002E1A98" w:rsidP="002E24EA">
      <w:pPr>
        <w:spacing w:line="480" w:lineRule="auto"/>
        <w:rPr>
          <w:b/>
        </w:rPr>
      </w:pPr>
      <w:r>
        <w:rPr>
          <w:b/>
        </w:rPr>
        <w:lastRenderedPageBreak/>
        <w:t>R</w:t>
      </w:r>
      <w:r w:rsidR="002E24EA">
        <w:rPr>
          <w:b/>
        </w:rPr>
        <w:t xml:space="preserve">eferences: </w:t>
      </w:r>
    </w:p>
    <w:p w14:paraId="4D6D6391" w14:textId="1E2D43C3" w:rsidR="00B30264" w:rsidRDefault="00B30264" w:rsidP="00B30264">
      <w:proofErr w:type="spellStart"/>
      <w:r w:rsidRPr="00B30264">
        <w:t>Buccitelli</w:t>
      </w:r>
      <w:proofErr w:type="spellEnd"/>
      <w:r w:rsidRPr="00B30264">
        <w:t>, Nicole, Clay Elliott, Seth Schober, and Mary Yamada. Washington, D.C.: Department of Energy, Nov. 2017. PDF.</w:t>
      </w:r>
    </w:p>
    <w:p w14:paraId="6B6DFBF3" w14:textId="77777777" w:rsidR="00FB595C" w:rsidRPr="00FB595C" w:rsidRDefault="00FB595C" w:rsidP="00FB595C">
      <w:r w:rsidRPr="00FB595C">
        <w:t>Fowlie, Meredith, et al. “Do Energy Efficiency Investments Deliver? Evidence from the Weatherization Assistance Program *.” OUP Academic, Oxford University Press, 29 Jan. 2018, academic.oup.com/</w:t>
      </w:r>
      <w:proofErr w:type="spellStart"/>
      <w:r w:rsidRPr="00FB595C">
        <w:t>qje</w:t>
      </w:r>
      <w:proofErr w:type="spellEnd"/>
      <w:r w:rsidRPr="00FB595C">
        <w:t>/article/133/3/1597/4828342.</w:t>
      </w:r>
    </w:p>
    <w:p w14:paraId="58BA1500" w14:textId="77777777" w:rsidR="00ED2202" w:rsidRPr="00553278" w:rsidRDefault="00ED2202" w:rsidP="00ED2202">
      <w:pPr>
        <w:spacing w:after="0"/>
      </w:pPr>
      <w:r w:rsidRPr="00553278">
        <w:t>Gately, Dermot. 1980. "Individual Discount Rates and the Purchase and Utilization of Energy-</w:t>
      </w:r>
    </w:p>
    <w:p w14:paraId="75C49177" w14:textId="77777777" w:rsidR="00ED2202" w:rsidRDefault="00ED2202" w:rsidP="00ED2202">
      <w:pPr>
        <w:spacing w:after="0"/>
      </w:pPr>
      <w:r w:rsidRPr="00553278">
        <w:t>Using Durables: Comment." The Bell Journal of Economics 11 (1): 373-374.</w:t>
      </w:r>
    </w:p>
    <w:p w14:paraId="77E4D9D8" w14:textId="357BF49E" w:rsidR="00B30264" w:rsidRDefault="00B30264" w:rsidP="002E24EA">
      <w:pPr>
        <w:spacing w:after="0" w:line="240" w:lineRule="auto"/>
      </w:pPr>
    </w:p>
    <w:p w14:paraId="6F64258A" w14:textId="03D2F86E" w:rsidR="00AA2E30" w:rsidRPr="00AA2E30" w:rsidRDefault="00AA2E30" w:rsidP="00AA2E30">
      <w:proofErr w:type="spellStart"/>
      <w:r w:rsidRPr="00AA2E30">
        <w:t>Gillingham</w:t>
      </w:r>
      <w:proofErr w:type="spellEnd"/>
      <w:r w:rsidRPr="00AA2E30">
        <w:t>, Kenneth, and Karen Palmer. Rff.Org, 2013, http://www.rff.org/files/sharepoint/WorkImages/Download/RFF-DP-13-02.pdf. Accessed 4 Dec 2018</w:t>
      </w:r>
    </w:p>
    <w:p w14:paraId="0BF498D3" w14:textId="77777777" w:rsidR="00ED2202" w:rsidRPr="00553278" w:rsidRDefault="00ED2202" w:rsidP="00ED2202">
      <w:pPr>
        <w:spacing w:after="0"/>
      </w:pPr>
      <w:r w:rsidRPr="00553278">
        <w:t>Hausman, J. A. 1979. "Individual Discount Rates and the Purchase and Utilization of Energy-</w:t>
      </w:r>
    </w:p>
    <w:p w14:paraId="41978495" w14:textId="77777777" w:rsidR="00ED2202" w:rsidRDefault="00ED2202" w:rsidP="00ED2202">
      <w:pPr>
        <w:spacing w:after="0"/>
      </w:pPr>
      <w:r w:rsidRPr="00553278">
        <w:t>Using Durables." Bell Journal of Economics 10 (1): 33-54.</w:t>
      </w:r>
    </w:p>
    <w:p w14:paraId="6CC62F3A" w14:textId="77777777" w:rsidR="00ED2202" w:rsidRDefault="00ED2202" w:rsidP="00ED2202">
      <w:pPr>
        <w:spacing w:after="0"/>
      </w:pPr>
    </w:p>
    <w:p w14:paraId="200DC555" w14:textId="48BF5A6A" w:rsidR="006C017A" w:rsidRDefault="00ED2202" w:rsidP="00B16F00">
      <w:r w:rsidRPr="00553278">
        <w:t>Hossain, Tanjim, and John Morgan. </w:t>
      </w:r>
      <w:r>
        <w:t>“…</w:t>
      </w:r>
      <w:r w:rsidRPr="00553278">
        <w:t>Plus Shipping and Handling: Revenue (Non) Equivalence in Field Experiments on EBay.</w:t>
      </w:r>
      <w:r>
        <w:t>”</w:t>
      </w:r>
      <w:r w:rsidRPr="00553278">
        <w:t xml:space="preserve"> N.p.: Advances in Economic Analysis &amp; Policy, 2006. PDF.</w:t>
      </w:r>
    </w:p>
    <w:p w14:paraId="3251D9FC" w14:textId="77777777" w:rsidR="00ED2202" w:rsidRPr="002E24EA" w:rsidRDefault="00ED2202" w:rsidP="00ED2202">
      <w:pPr>
        <w:spacing w:after="0" w:line="240" w:lineRule="auto"/>
      </w:pPr>
      <w:r w:rsidRPr="002E24EA">
        <w:t>Klemick, Heather, Elizabeth Kopits, Ann Wolverton, and Keith Sargent. 2015. "Heavy-duty</w:t>
      </w:r>
    </w:p>
    <w:p w14:paraId="09245FF5" w14:textId="77777777" w:rsidR="00ED2202" w:rsidRPr="002E24EA" w:rsidRDefault="00ED2202" w:rsidP="00ED2202">
      <w:pPr>
        <w:spacing w:after="0" w:line="240" w:lineRule="auto"/>
      </w:pPr>
      <w:r w:rsidRPr="002E24EA">
        <w:t>trucking and the energy efficiency paradox: Evidence from focus groups and interviews."</w:t>
      </w:r>
    </w:p>
    <w:p w14:paraId="5381F173" w14:textId="77777777" w:rsidR="00ED2202" w:rsidRPr="002E24EA" w:rsidRDefault="00ED2202" w:rsidP="00ED2202">
      <w:pPr>
        <w:spacing w:after="0" w:line="240" w:lineRule="auto"/>
      </w:pPr>
      <w:r w:rsidRPr="002E24EA">
        <w:t>Transportation Research Part A 77 154–166.</w:t>
      </w:r>
    </w:p>
    <w:p w14:paraId="27FF65E4" w14:textId="77777777" w:rsidR="00ED2202" w:rsidRDefault="00ED2202" w:rsidP="002E24EA">
      <w:pPr>
        <w:spacing w:after="0" w:line="240" w:lineRule="auto"/>
      </w:pPr>
    </w:p>
    <w:p w14:paraId="2B17BD21" w14:textId="77777777" w:rsidR="00B16F00" w:rsidRPr="00ED2202" w:rsidRDefault="00B16F00" w:rsidP="00B16F00">
      <w:pPr>
        <w:spacing w:line="276" w:lineRule="auto"/>
      </w:pPr>
      <w:r w:rsidRPr="00ED2202">
        <w:t xml:space="preserve">Jaffe, Adam B, and Robert N </w:t>
      </w:r>
      <w:proofErr w:type="spellStart"/>
      <w:r w:rsidRPr="00ED2202">
        <w:t>Stavins</w:t>
      </w:r>
      <w:proofErr w:type="spellEnd"/>
      <w:r w:rsidRPr="00ED2202">
        <w:t>. “</w:t>
      </w:r>
      <w:hyperlink r:id="rId9" w:history="1">
        <w:r w:rsidRPr="00ED2202">
          <w:rPr>
            <w:rStyle w:val="Hyperlink"/>
          </w:rPr>
          <w:t>The Energy Paradox and the Diffusion of Conservation Technology</w:t>
        </w:r>
      </w:hyperlink>
      <w:r w:rsidRPr="00ED2202">
        <w:t>.” Resource and Energy Economics 16 (1994): 91–122.</w:t>
      </w:r>
    </w:p>
    <w:p w14:paraId="3D84BDA7" w14:textId="1A0A1802" w:rsidR="00ED2202" w:rsidRPr="002E24EA" w:rsidRDefault="00ED2202" w:rsidP="00ED2202">
      <w:r w:rsidRPr="002E24EA">
        <w:t>"Learn About LED Lighting". Energystar.Gov, 2018, https://www.energystar.gov/products/lighting_fans/light_bulbs/learn_about_led_bulbs. Accessed 9 Oct 2018.</w:t>
      </w:r>
    </w:p>
    <w:p w14:paraId="682043AC" w14:textId="2D953980" w:rsidR="00ED2202" w:rsidRDefault="00ED2202" w:rsidP="00ED2202">
      <w:r w:rsidRPr="002E24EA">
        <w:t xml:space="preserve">THE LIGHT BULB REVOLUTION. EPA, 2017, </w:t>
      </w:r>
      <w:hyperlink r:id="rId10" w:history="1">
        <w:r w:rsidRPr="001A72B7">
          <w:rPr>
            <w:rStyle w:val="Hyperlink"/>
          </w:rPr>
          <w:t>https://www.energystar.gov/sites/default/files/asset/document/LBR_2017-LED-Takeover.pdf. Accessed 9 Oct 2018</w:t>
        </w:r>
      </w:hyperlink>
      <w:r w:rsidRPr="002E24EA">
        <w:t>.</w:t>
      </w:r>
    </w:p>
    <w:p w14:paraId="78A1EC94" w14:textId="3AB2DF9A" w:rsidR="008A2653" w:rsidRDefault="008A2653" w:rsidP="00ED2202">
      <w:proofErr w:type="spellStart"/>
      <w:r>
        <w:t>Tvetanov</w:t>
      </w:r>
      <w:proofErr w:type="spellEnd"/>
      <w:r>
        <w:t xml:space="preserve">, </w:t>
      </w:r>
      <w:proofErr w:type="spellStart"/>
      <w:r>
        <w:t>Tsvetan</w:t>
      </w:r>
      <w:proofErr w:type="spellEnd"/>
      <w:r>
        <w:t xml:space="preserve">, and Kathleen </w:t>
      </w:r>
      <w:proofErr w:type="spellStart"/>
      <w:r>
        <w:t>Segerson</w:t>
      </w:r>
      <w:proofErr w:type="spellEnd"/>
      <w:r>
        <w:t>. 2011. Re-Evaluating the Role of Energy Efficiency Standards: A Time-Consistent Behavioral Economics Approach. University of Connecticut Working Paper.</w:t>
      </w:r>
    </w:p>
    <w:p w14:paraId="131F7A11" w14:textId="77777777" w:rsidR="00ED2202" w:rsidRPr="00553278" w:rsidRDefault="00ED2202" w:rsidP="00ED2202">
      <w:pPr>
        <w:spacing w:after="0"/>
      </w:pPr>
      <w:r w:rsidRPr="00553278">
        <w:t>U.S. Bureau of the Census. 2017. "Real Median Personal Income in the United States." FRED,</w:t>
      </w:r>
    </w:p>
    <w:p w14:paraId="399AA6EF" w14:textId="196CA4B3" w:rsidR="00ED2202" w:rsidRPr="00553278" w:rsidRDefault="002E1A98" w:rsidP="00ED2202">
      <w:pPr>
        <w:spacing w:after="0"/>
      </w:pPr>
      <w:r>
        <w:t>F</w:t>
      </w:r>
      <w:r w:rsidR="00ED2202" w:rsidRPr="00553278">
        <w:t>ederal Reserve Bank of St. Louis. September 13. Accessed March 18, 2018.</w:t>
      </w:r>
    </w:p>
    <w:p w14:paraId="7D02E09C" w14:textId="77777777" w:rsidR="00ED2202" w:rsidRDefault="002B379D" w:rsidP="00ED2202">
      <w:pPr>
        <w:spacing w:after="0"/>
      </w:pPr>
      <w:hyperlink r:id="rId11" w:history="1">
        <w:r w:rsidR="00ED2202" w:rsidRPr="001A72B7">
          <w:rPr>
            <w:rStyle w:val="Hyperlink"/>
          </w:rPr>
          <w:t>https://fred.stlouisfed.org/series/MEPAINUSA672N</w:t>
        </w:r>
      </w:hyperlink>
      <w:r w:rsidR="00ED2202" w:rsidRPr="00553278">
        <w:t>.</w:t>
      </w:r>
    </w:p>
    <w:p w14:paraId="1315C6E0" w14:textId="77777777" w:rsidR="006E526C" w:rsidRDefault="006E526C" w:rsidP="006E526C">
      <w:pPr>
        <w:spacing w:line="480" w:lineRule="auto"/>
      </w:pPr>
    </w:p>
    <w:p w14:paraId="78AE2731" w14:textId="4C227E48" w:rsidR="00B30264" w:rsidRDefault="00B30264" w:rsidP="00553278">
      <w:pPr>
        <w:spacing w:after="0"/>
      </w:pPr>
    </w:p>
    <w:p w14:paraId="6253772E" w14:textId="77777777" w:rsidR="00B30264" w:rsidRDefault="00B30264" w:rsidP="00553278">
      <w:pPr>
        <w:spacing w:after="0"/>
      </w:pPr>
    </w:p>
    <w:p w14:paraId="0651F2EB" w14:textId="0F8CF7A4" w:rsidR="00553278" w:rsidRDefault="00553278" w:rsidP="00553278">
      <w:pPr>
        <w:spacing w:after="0"/>
      </w:pPr>
    </w:p>
    <w:p w14:paraId="2E051430" w14:textId="2D5041C2" w:rsidR="00553278" w:rsidRPr="00553278" w:rsidRDefault="00553278" w:rsidP="00553278">
      <w:pPr>
        <w:spacing w:after="0"/>
      </w:pPr>
    </w:p>
    <w:sectPr w:rsidR="00553278" w:rsidRPr="0055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353E9"/>
    <w:multiLevelType w:val="hybridMultilevel"/>
    <w:tmpl w:val="CE4A9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18"/>
    <w:rsid w:val="00000E37"/>
    <w:rsid w:val="00001D62"/>
    <w:rsid w:val="00010426"/>
    <w:rsid w:val="00010B8C"/>
    <w:rsid w:val="00027888"/>
    <w:rsid w:val="00043D8D"/>
    <w:rsid w:val="000541AB"/>
    <w:rsid w:val="00060A79"/>
    <w:rsid w:val="00086E51"/>
    <w:rsid w:val="0009565B"/>
    <w:rsid w:val="000C2455"/>
    <w:rsid w:val="000E2479"/>
    <w:rsid w:val="000E3A4D"/>
    <w:rsid w:val="000F75C0"/>
    <w:rsid w:val="00121CEF"/>
    <w:rsid w:val="00163BB7"/>
    <w:rsid w:val="00166A77"/>
    <w:rsid w:val="00182445"/>
    <w:rsid w:val="00190968"/>
    <w:rsid w:val="00192F5C"/>
    <w:rsid w:val="001C2F94"/>
    <w:rsid w:val="001F0398"/>
    <w:rsid w:val="00203401"/>
    <w:rsid w:val="00220F18"/>
    <w:rsid w:val="002319F6"/>
    <w:rsid w:val="0025314E"/>
    <w:rsid w:val="00254041"/>
    <w:rsid w:val="0026247F"/>
    <w:rsid w:val="0027584D"/>
    <w:rsid w:val="002775CB"/>
    <w:rsid w:val="002816F6"/>
    <w:rsid w:val="00293C73"/>
    <w:rsid w:val="002A063F"/>
    <w:rsid w:val="002A64B6"/>
    <w:rsid w:val="002B379D"/>
    <w:rsid w:val="002C2FC2"/>
    <w:rsid w:val="002E1A98"/>
    <w:rsid w:val="002E1CEA"/>
    <w:rsid w:val="002E24EA"/>
    <w:rsid w:val="002F0594"/>
    <w:rsid w:val="00323DE9"/>
    <w:rsid w:val="003320A9"/>
    <w:rsid w:val="00347172"/>
    <w:rsid w:val="0036069D"/>
    <w:rsid w:val="003758ED"/>
    <w:rsid w:val="00392233"/>
    <w:rsid w:val="003958CC"/>
    <w:rsid w:val="003A3415"/>
    <w:rsid w:val="003B0058"/>
    <w:rsid w:val="003B075B"/>
    <w:rsid w:val="003C3956"/>
    <w:rsid w:val="003F6C15"/>
    <w:rsid w:val="00402D12"/>
    <w:rsid w:val="00407347"/>
    <w:rsid w:val="0041116B"/>
    <w:rsid w:val="00420C5C"/>
    <w:rsid w:val="0044501C"/>
    <w:rsid w:val="00445095"/>
    <w:rsid w:val="004B2EBE"/>
    <w:rsid w:val="004B4503"/>
    <w:rsid w:val="00505505"/>
    <w:rsid w:val="00532413"/>
    <w:rsid w:val="00546D93"/>
    <w:rsid w:val="005510D3"/>
    <w:rsid w:val="00553278"/>
    <w:rsid w:val="005540EE"/>
    <w:rsid w:val="0055464B"/>
    <w:rsid w:val="005624B4"/>
    <w:rsid w:val="00572957"/>
    <w:rsid w:val="00594437"/>
    <w:rsid w:val="00594BCA"/>
    <w:rsid w:val="00597043"/>
    <w:rsid w:val="005A2756"/>
    <w:rsid w:val="005C1715"/>
    <w:rsid w:val="005C6BDE"/>
    <w:rsid w:val="005D623B"/>
    <w:rsid w:val="005E047C"/>
    <w:rsid w:val="005E3494"/>
    <w:rsid w:val="006173A8"/>
    <w:rsid w:val="006273AD"/>
    <w:rsid w:val="00636EDD"/>
    <w:rsid w:val="00643AAE"/>
    <w:rsid w:val="00645B73"/>
    <w:rsid w:val="006565AF"/>
    <w:rsid w:val="00660719"/>
    <w:rsid w:val="00661E1A"/>
    <w:rsid w:val="00680C8C"/>
    <w:rsid w:val="006857DE"/>
    <w:rsid w:val="00690201"/>
    <w:rsid w:val="006B505F"/>
    <w:rsid w:val="006B5C4E"/>
    <w:rsid w:val="006C017A"/>
    <w:rsid w:val="006C07CA"/>
    <w:rsid w:val="006C7625"/>
    <w:rsid w:val="006E526C"/>
    <w:rsid w:val="006F1CBC"/>
    <w:rsid w:val="00701EBC"/>
    <w:rsid w:val="0072052E"/>
    <w:rsid w:val="00724B0C"/>
    <w:rsid w:val="007335ED"/>
    <w:rsid w:val="007355F8"/>
    <w:rsid w:val="00737A42"/>
    <w:rsid w:val="00740318"/>
    <w:rsid w:val="00747515"/>
    <w:rsid w:val="00785B3C"/>
    <w:rsid w:val="0078777A"/>
    <w:rsid w:val="00797233"/>
    <w:rsid w:val="007A5FCA"/>
    <w:rsid w:val="007A611B"/>
    <w:rsid w:val="007C344A"/>
    <w:rsid w:val="007C41BE"/>
    <w:rsid w:val="007C70C6"/>
    <w:rsid w:val="007D4746"/>
    <w:rsid w:val="008026F7"/>
    <w:rsid w:val="00802E1F"/>
    <w:rsid w:val="00820D0A"/>
    <w:rsid w:val="00832A38"/>
    <w:rsid w:val="008358C2"/>
    <w:rsid w:val="00847448"/>
    <w:rsid w:val="00880966"/>
    <w:rsid w:val="00896E9F"/>
    <w:rsid w:val="008A2653"/>
    <w:rsid w:val="008B4DBF"/>
    <w:rsid w:val="008D3276"/>
    <w:rsid w:val="008E3DEB"/>
    <w:rsid w:val="008E6251"/>
    <w:rsid w:val="008F56E3"/>
    <w:rsid w:val="00911155"/>
    <w:rsid w:val="00913308"/>
    <w:rsid w:val="0092051A"/>
    <w:rsid w:val="009205E4"/>
    <w:rsid w:val="00926B65"/>
    <w:rsid w:val="0093098B"/>
    <w:rsid w:val="009354DB"/>
    <w:rsid w:val="00941F8F"/>
    <w:rsid w:val="00953119"/>
    <w:rsid w:val="00957227"/>
    <w:rsid w:val="00961B68"/>
    <w:rsid w:val="00973FD8"/>
    <w:rsid w:val="00980E94"/>
    <w:rsid w:val="00984E3B"/>
    <w:rsid w:val="00992DE3"/>
    <w:rsid w:val="009A6420"/>
    <w:rsid w:val="009B0024"/>
    <w:rsid w:val="009E4FF7"/>
    <w:rsid w:val="00A008B6"/>
    <w:rsid w:val="00A11601"/>
    <w:rsid w:val="00A35BC9"/>
    <w:rsid w:val="00A363FA"/>
    <w:rsid w:val="00A40FAC"/>
    <w:rsid w:val="00A47747"/>
    <w:rsid w:val="00A54ABA"/>
    <w:rsid w:val="00A70C4C"/>
    <w:rsid w:val="00A7727F"/>
    <w:rsid w:val="00A81156"/>
    <w:rsid w:val="00A8253F"/>
    <w:rsid w:val="00AA12FD"/>
    <w:rsid w:val="00AA26D1"/>
    <w:rsid w:val="00AA2E30"/>
    <w:rsid w:val="00AC0DB5"/>
    <w:rsid w:val="00AF5DC0"/>
    <w:rsid w:val="00B00EAE"/>
    <w:rsid w:val="00B039A1"/>
    <w:rsid w:val="00B03A8A"/>
    <w:rsid w:val="00B126C1"/>
    <w:rsid w:val="00B16549"/>
    <w:rsid w:val="00B16676"/>
    <w:rsid w:val="00B16F00"/>
    <w:rsid w:val="00B16F7E"/>
    <w:rsid w:val="00B30264"/>
    <w:rsid w:val="00B35A40"/>
    <w:rsid w:val="00B4567F"/>
    <w:rsid w:val="00B5371F"/>
    <w:rsid w:val="00B572FB"/>
    <w:rsid w:val="00B715DF"/>
    <w:rsid w:val="00B85BE8"/>
    <w:rsid w:val="00B85EFD"/>
    <w:rsid w:val="00B865C8"/>
    <w:rsid w:val="00BB4561"/>
    <w:rsid w:val="00BC2E93"/>
    <w:rsid w:val="00BC503D"/>
    <w:rsid w:val="00BE3DA5"/>
    <w:rsid w:val="00BF0196"/>
    <w:rsid w:val="00C03646"/>
    <w:rsid w:val="00C05D8E"/>
    <w:rsid w:val="00C22E73"/>
    <w:rsid w:val="00C416D9"/>
    <w:rsid w:val="00C432A8"/>
    <w:rsid w:val="00C62F84"/>
    <w:rsid w:val="00C63871"/>
    <w:rsid w:val="00C973E6"/>
    <w:rsid w:val="00CA2A1F"/>
    <w:rsid w:val="00CB1097"/>
    <w:rsid w:val="00CB55EB"/>
    <w:rsid w:val="00CC7DF0"/>
    <w:rsid w:val="00CE37AB"/>
    <w:rsid w:val="00D00FA6"/>
    <w:rsid w:val="00D15B1D"/>
    <w:rsid w:val="00D16834"/>
    <w:rsid w:val="00D17921"/>
    <w:rsid w:val="00D2251F"/>
    <w:rsid w:val="00D34722"/>
    <w:rsid w:val="00D57F10"/>
    <w:rsid w:val="00D6453E"/>
    <w:rsid w:val="00D64899"/>
    <w:rsid w:val="00D8131A"/>
    <w:rsid w:val="00D85315"/>
    <w:rsid w:val="00DA40E8"/>
    <w:rsid w:val="00DD2D16"/>
    <w:rsid w:val="00DD4120"/>
    <w:rsid w:val="00DE3987"/>
    <w:rsid w:val="00DE5244"/>
    <w:rsid w:val="00DF0E39"/>
    <w:rsid w:val="00E042DF"/>
    <w:rsid w:val="00E052D8"/>
    <w:rsid w:val="00E179D5"/>
    <w:rsid w:val="00E26647"/>
    <w:rsid w:val="00E34E76"/>
    <w:rsid w:val="00E64767"/>
    <w:rsid w:val="00E732EB"/>
    <w:rsid w:val="00E80E38"/>
    <w:rsid w:val="00E81698"/>
    <w:rsid w:val="00E82D88"/>
    <w:rsid w:val="00E951A7"/>
    <w:rsid w:val="00EA1E50"/>
    <w:rsid w:val="00EA374C"/>
    <w:rsid w:val="00EA517B"/>
    <w:rsid w:val="00ED2202"/>
    <w:rsid w:val="00ED5C68"/>
    <w:rsid w:val="00EE2D13"/>
    <w:rsid w:val="00EE7E91"/>
    <w:rsid w:val="00F03115"/>
    <w:rsid w:val="00F0733D"/>
    <w:rsid w:val="00F17008"/>
    <w:rsid w:val="00F20157"/>
    <w:rsid w:val="00F21559"/>
    <w:rsid w:val="00F35F13"/>
    <w:rsid w:val="00F46613"/>
    <w:rsid w:val="00F702DE"/>
    <w:rsid w:val="00F739E8"/>
    <w:rsid w:val="00F80774"/>
    <w:rsid w:val="00F82BF0"/>
    <w:rsid w:val="00F91287"/>
    <w:rsid w:val="00FA28D7"/>
    <w:rsid w:val="00FB4923"/>
    <w:rsid w:val="00FB595C"/>
    <w:rsid w:val="00FC1CE1"/>
    <w:rsid w:val="00FC4D0C"/>
    <w:rsid w:val="00FC7B63"/>
    <w:rsid w:val="00FE4520"/>
    <w:rsid w:val="00FF462C"/>
    <w:rsid w:val="00FF7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D107"/>
  <w15:chartTrackingRefBased/>
  <w15:docId w15:val="{AC7395CE-5A58-4C85-9D03-4030A65B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F05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3646"/>
    <w:rPr>
      <w:sz w:val="16"/>
      <w:szCs w:val="16"/>
    </w:rPr>
  </w:style>
  <w:style w:type="paragraph" w:styleId="CommentText">
    <w:name w:val="annotation text"/>
    <w:basedOn w:val="Normal"/>
    <w:link w:val="CommentTextChar"/>
    <w:uiPriority w:val="99"/>
    <w:semiHidden/>
    <w:unhideWhenUsed/>
    <w:rsid w:val="00C03646"/>
    <w:pPr>
      <w:spacing w:line="240" w:lineRule="auto"/>
    </w:pPr>
    <w:rPr>
      <w:sz w:val="20"/>
      <w:szCs w:val="20"/>
    </w:rPr>
  </w:style>
  <w:style w:type="character" w:customStyle="1" w:styleId="CommentTextChar">
    <w:name w:val="Comment Text Char"/>
    <w:basedOn w:val="DefaultParagraphFont"/>
    <w:link w:val="CommentText"/>
    <w:uiPriority w:val="99"/>
    <w:semiHidden/>
    <w:rsid w:val="00C03646"/>
    <w:rPr>
      <w:sz w:val="20"/>
      <w:szCs w:val="20"/>
    </w:rPr>
  </w:style>
  <w:style w:type="paragraph" w:styleId="CommentSubject">
    <w:name w:val="annotation subject"/>
    <w:basedOn w:val="CommentText"/>
    <w:next w:val="CommentText"/>
    <w:link w:val="CommentSubjectChar"/>
    <w:uiPriority w:val="99"/>
    <w:semiHidden/>
    <w:unhideWhenUsed/>
    <w:rsid w:val="00C03646"/>
    <w:rPr>
      <w:b/>
      <w:bCs/>
    </w:rPr>
  </w:style>
  <w:style w:type="character" w:customStyle="1" w:styleId="CommentSubjectChar">
    <w:name w:val="Comment Subject Char"/>
    <w:basedOn w:val="CommentTextChar"/>
    <w:link w:val="CommentSubject"/>
    <w:uiPriority w:val="99"/>
    <w:semiHidden/>
    <w:rsid w:val="00C03646"/>
    <w:rPr>
      <w:b/>
      <w:bCs/>
      <w:sz w:val="20"/>
      <w:szCs w:val="20"/>
    </w:rPr>
  </w:style>
  <w:style w:type="paragraph" w:styleId="BalloonText">
    <w:name w:val="Balloon Text"/>
    <w:basedOn w:val="Normal"/>
    <w:link w:val="BalloonTextChar"/>
    <w:uiPriority w:val="99"/>
    <w:semiHidden/>
    <w:unhideWhenUsed/>
    <w:rsid w:val="00C03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646"/>
    <w:rPr>
      <w:rFonts w:ascii="Segoe UI" w:hAnsi="Segoe UI" w:cs="Segoe UI"/>
      <w:sz w:val="18"/>
      <w:szCs w:val="18"/>
    </w:rPr>
  </w:style>
  <w:style w:type="character" w:customStyle="1" w:styleId="Heading3Char">
    <w:name w:val="Heading 3 Char"/>
    <w:basedOn w:val="DefaultParagraphFont"/>
    <w:link w:val="Heading3"/>
    <w:uiPriority w:val="9"/>
    <w:rsid w:val="002F0594"/>
    <w:rPr>
      <w:rFonts w:ascii="Times New Roman" w:eastAsia="Times New Roman" w:hAnsi="Times New Roman" w:cs="Times New Roman"/>
      <w:b/>
      <w:bCs/>
      <w:sz w:val="27"/>
      <w:szCs w:val="27"/>
    </w:rPr>
  </w:style>
  <w:style w:type="character" w:customStyle="1" w:styleId="mw-headline">
    <w:name w:val="mw-headline"/>
    <w:basedOn w:val="DefaultParagraphFont"/>
    <w:rsid w:val="002F0594"/>
  </w:style>
  <w:style w:type="character" w:styleId="Hyperlink">
    <w:name w:val="Hyperlink"/>
    <w:basedOn w:val="DefaultParagraphFont"/>
    <w:uiPriority w:val="99"/>
    <w:unhideWhenUsed/>
    <w:rsid w:val="000C2455"/>
    <w:rPr>
      <w:color w:val="0563C1" w:themeColor="hyperlink"/>
      <w:u w:val="single"/>
    </w:rPr>
  </w:style>
  <w:style w:type="character" w:styleId="UnresolvedMention">
    <w:name w:val="Unresolved Mention"/>
    <w:basedOn w:val="DefaultParagraphFont"/>
    <w:uiPriority w:val="99"/>
    <w:semiHidden/>
    <w:unhideWhenUsed/>
    <w:rsid w:val="000C2455"/>
    <w:rPr>
      <w:color w:val="605E5C"/>
      <w:shd w:val="clear" w:color="auto" w:fill="E1DFDD"/>
    </w:rPr>
  </w:style>
  <w:style w:type="table" w:styleId="TableGrid">
    <w:name w:val="Table Grid"/>
    <w:basedOn w:val="TableNormal"/>
    <w:uiPriority w:val="39"/>
    <w:rsid w:val="008D3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276"/>
    <w:pPr>
      <w:ind w:left="720"/>
      <w:contextualSpacing/>
    </w:pPr>
  </w:style>
  <w:style w:type="character" w:styleId="FollowedHyperlink">
    <w:name w:val="FollowedHyperlink"/>
    <w:basedOn w:val="DefaultParagraphFont"/>
    <w:uiPriority w:val="99"/>
    <w:semiHidden/>
    <w:unhideWhenUsed/>
    <w:rsid w:val="002E24EA"/>
    <w:rPr>
      <w:color w:val="954F72" w:themeColor="followedHyperlink"/>
      <w:u w:val="single"/>
    </w:rPr>
  </w:style>
  <w:style w:type="paragraph" w:styleId="NormalWeb">
    <w:name w:val="Normal (Web)"/>
    <w:basedOn w:val="Normal"/>
    <w:uiPriority w:val="99"/>
    <w:semiHidden/>
    <w:unhideWhenUsed/>
    <w:rsid w:val="00FB59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E30"/>
    <w:rPr>
      <w:b/>
      <w:bCs/>
    </w:rPr>
  </w:style>
  <w:style w:type="character" w:customStyle="1" w:styleId="selectable">
    <w:name w:val="selectable"/>
    <w:basedOn w:val="DefaultParagraphFont"/>
    <w:rsid w:val="00AA2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08079">
      <w:bodyDiv w:val="1"/>
      <w:marLeft w:val="0"/>
      <w:marRight w:val="0"/>
      <w:marTop w:val="0"/>
      <w:marBottom w:val="0"/>
      <w:divBdr>
        <w:top w:val="none" w:sz="0" w:space="0" w:color="auto"/>
        <w:left w:val="none" w:sz="0" w:space="0" w:color="auto"/>
        <w:bottom w:val="none" w:sz="0" w:space="0" w:color="auto"/>
        <w:right w:val="none" w:sz="0" w:space="0" w:color="auto"/>
      </w:divBdr>
    </w:div>
    <w:div w:id="490102501">
      <w:bodyDiv w:val="1"/>
      <w:marLeft w:val="0"/>
      <w:marRight w:val="0"/>
      <w:marTop w:val="0"/>
      <w:marBottom w:val="0"/>
      <w:divBdr>
        <w:top w:val="none" w:sz="0" w:space="0" w:color="auto"/>
        <w:left w:val="none" w:sz="0" w:space="0" w:color="auto"/>
        <w:bottom w:val="none" w:sz="0" w:space="0" w:color="auto"/>
        <w:right w:val="none" w:sz="0" w:space="0" w:color="auto"/>
      </w:divBdr>
      <w:divsChild>
        <w:div w:id="923496406">
          <w:marLeft w:val="0"/>
          <w:marRight w:val="0"/>
          <w:marTop w:val="0"/>
          <w:marBottom w:val="0"/>
          <w:divBdr>
            <w:top w:val="none" w:sz="0" w:space="0" w:color="auto"/>
            <w:left w:val="none" w:sz="0" w:space="0" w:color="auto"/>
            <w:bottom w:val="none" w:sz="0" w:space="0" w:color="auto"/>
            <w:right w:val="none" w:sz="0" w:space="0" w:color="auto"/>
          </w:divBdr>
          <w:divsChild>
            <w:div w:id="378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ed.stlouisfed.org/series/MEPAINUSA672N" TargetMode="External"/><Relationship Id="rId5" Type="http://schemas.openxmlformats.org/officeDocument/2006/relationships/image" Target="media/image1.png"/><Relationship Id="rId10" Type="http://schemas.openxmlformats.org/officeDocument/2006/relationships/hyperlink" Target="https://www.energystar.gov/sites/default/files/asset/document/LBR_2017-LED-Takeover.pdf.%20Accessed%209%20Oct%202018" TargetMode="External"/><Relationship Id="rId4" Type="http://schemas.openxmlformats.org/officeDocument/2006/relationships/webSettings" Target="webSettings.xml"/><Relationship Id="rId9" Type="http://schemas.openxmlformats.org/officeDocument/2006/relationships/hyperlink" Target="https://scholar.harvard.edu/stavins/publications/energy-paradox-and-diffusion-conservation-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8</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Hayz</dc:creator>
  <cp:keywords/>
  <dc:description/>
  <cp:lastModifiedBy>Joe Hayz</cp:lastModifiedBy>
  <cp:revision>7</cp:revision>
  <dcterms:created xsi:type="dcterms:W3CDTF">2018-12-06T03:24:00Z</dcterms:created>
  <dcterms:modified xsi:type="dcterms:W3CDTF">2018-12-07T17:29:00Z</dcterms:modified>
</cp:coreProperties>
</file>