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Guía de Contribución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Agradecemos su interés en aportar al desarrollo continuo del Analizador Agrícola 4.0.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Criterios de Desarrollo y Arquitectura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**Manejo de Variables:** Toda nueva función analítica debe integrarse respetando la arquitectura del objeto global `lastResult`, el cual almacena las variables procesadas de imágenes y estadísticas zonales.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**Nuevos Cultivos:** La incorporación de calibraciones adicionales debe realizarse modificando el objeto `CROP_PARAMS`.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**Parámetros de Insumos:** Todo nuevo insumo agrícola ingresado al sistema debe declarar estrictamente su índice de referencia, el umbral de suficiencia (`si_umbral`), junto con sus dosis máximas y mínimas.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**Actualización Espectral:** Las modificaciones visuales de los índices espectrales y sus clasificaciones deben actualizarse exclusivamente en el objeto `PARAM_SETS`.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Procedimiento de Entrega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Ejecute un *fork* del repositorio principal.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Genere una nueva rama para aislar su modificación.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Asegúrese de documentar las actualizaciones del motor algorítmico.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Envíe un *Pull Request* detallando con precisión las mejoras añadidas.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