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color w:val="1C4C5C"/>
          <w:sz w:val="30"/>
        </w:rPr>
        <w:t>Project Design Phase</w:t>
      </w:r>
    </w:p>
    <w:p>
      <w:pPr>
        <w:spacing w:after="0"/>
        <w:jc w:val="center"/>
      </w:pPr>
      <w:r>
        <w:rPr>
          <w:rFonts w:ascii="Arial" w:hAnsi="Arial"/>
          <w:b/>
          <w:color w:val="1C4C5C"/>
          <w:sz w:val="24"/>
        </w:rPr>
        <w:t>Proposed Solution Template</w:t>
      </w:r>
    </w:p>
    <w:tbl>
      <w:tblPr>
        <w:tblStyle w:val="TableGrid"/>
        <w:tblW w:type="auto" w:w="0"/>
        <w:jc w:val="center"/>
        <w:tblLayout w:type="fixed"/>
        <w:tblLook w:firstColumn="1" w:firstRow="1" w:lastColumn="0" w:lastRow="0" w:noHBand="0" w:noVBand="1" w:val="04A0"/>
      </w:tblPr>
      <w:tblGrid>
        <w:gridCol w:w="2880"/>
        <w:gridCol w:w="7056"/>
      </w:tblGrid>
      <w:tr>
        <w:trPr>
          <w:trHeight w:val="418"/>
        </w:trPr>
        <w:tc>
          <w:tcPr>
            <w:tcW w:type="dxa" w:w="5184"/>
            <w:vAlign w:val="center"/>
            <w:shd w:fill="EAF1F4"/>
          </w:tcPr>
          <w:p>
            <w:pPr>
              <w:spacing w:after="20"/>
            </w:pPr>
            <w:r/>
            <w:r>
              <w:rPr>
                <w:rFonts w:ascii="Arial" w:hAnsi="Arial"/>
                <w:b/>
                <w:color w:val="2B3137"/>
                <w:sz w:val="17"/>
              </w:rPr>
              <w:t>Date</w:t>
            </w:r>
          </w:p>
        </w:tc>
        <w:tc>
          <w:tcPr>
            <w:tcW w:type="dxa" w:w="5184"/>
            <w:vAlign w:val="center"/>
          </w:tcPr>
          <w:p>
            <w:pPr>
              <w:spacing w:after="20"/>
            </w:pPr>
            <w:r/>
            <w:r>
              <w:rPr>
                <w:rFonts w:ascii="Arial" w:hAnsi="Arial"/>
                <w:b w:val="0"/>
                <w:color w:val="2B3137"/>
                <w:sz w:val="17"/>
              </w:rPr>
              <w:t>12-10-2026</w:t>
            </w:r>
          </w:p>
        </w:tc>
      </w:tr>
      <w:tr>
        <w:trPr>
          <w:trHeight w:val="418"/>
        </w:trPr>
        <w:tc>
          <w:tcPr>
            <w:tcW w:type="dxa" w:w="5184"/>
            <w:vAlign w:val="center"/>
            <w:shd w:fill="EAF1F4"/>
          </w:tcPr>
          <w:p>
            <w:pPr>
              <w:spacing w:after="20"/>
            </w:pPr>
            <w:r/>
            <w:r>
              <w:rPr>
                <w:rFonts w:ascii="Arial" w:hAnsi="Arial"/>
                <w:b/>
                <w:color w:val="2B3137"/>
                <w:sz w:val="17"/>
              </w:rPr>
              <w:t>Team ID</w:t>
            </w:r>
          </w:p>
        </w:tc>
        <w:tc>
          <w:tcPr>
            <w:tcW w:type="dxa" w:w="5184"/>
            <w:vAlign w:val="center"/>
          </w:tcPr>
          <w:p>
            <w:pPr>
              <w:spacing w:after="20"/>
            </w:pPr>
            <w:r/>
            <w:r>
              <w:rPr>
                <w:rFonts w:ascii="Arial" w:hAnsi="Arial"/>
                <w:b w:val="0"/>
                <w:color w:val="2B3137"/>
                <w:sz w:val="17"/>
              </w:rPr>
              <w:t>Individual participant - 323103312124@gvpce.ac.in</w:t>
            </w:r>
          </w:p>
        </w:tc>
      </w:tr>
      <w:tr>
        <w:trPr>
          <w:trHeight w:val="418"/>
        </w:trPr>
        <w:tc>
          <w:tcPr>
            <w:tcW w:type="dxa" w:w="5184"/>
            <w:vAlign w:val="center"/>
            <w:shd w:fill="EAF1F4"/>
          </w:tcPr>
          <w:p>
            <w:pPr>
              <w:spacing w:after="20"/>
            </w:pPr>
            <w:r/>
            <w:r>
              <w:rPr>
                <w:rFonts w:ascii="Arial" w:hAnsi="Arial"/>
                <w:b/>
                <w:color w:val="2B3137"/>
                <w:sz w:val="17"/>
              </w:rPr>
              <w:t>Project Name</w:t>
            </w:r>
          </w:p>
        </w:tc>
        <w:tc>
          <w:tcPr>
            <w:tcW w:type="dxa" w:w="5184"/>
            <w:vAlign w:val="center"/>
          </w:tcPr>
          <w:p>
            <w:pPr>
              <w:spacing w:after="20"/>
            </w:pPr>
            <w:r/>
            <w:r>
              <w:rPr>
                <w:rFonts w:ascii="Arial" w:hAnsi="Arial"/>
                <w:b w:val="0"/>
                <w:color w:val="2B3137"/>
                <w:sz w:val="17"/>
              </w:rPr>
              <w:t>Software Installation Request - ServiceNow</w:t>
            </w:r>
          </w:p>
        </w:tc>
      </w:tr>
      <w:tr>
        <w:trPr>
          <w:trHeight w:val="418"/>
        </w:trPr>
        <w:tc>
          <w:tcPr>
            <w:tcW w:type="dxa" w:w="5184"/>
            <w:vAlign w:val="center"/>
            <w:shd w:fill="EAF1F4"/>
          </w:tcPr>
          <w:p>
            <w:pPr>
              <w:spacing w:after="20"/>
            </w:pPr>
            <w:r/>
            <w:r>
              <w:rPr>
                <w:rFonts w:ascii="Arial" w:hAnsi="Arial"/>
                <w:b/>
                <w:color w:val="2B3137"/>
                <w:sz w:val="17"/>
              </w:rPr>
              <w:t>Maximum Marks</w:t>
            </w:r>
          </w:p>
        </w:tc>
        <w:tc>
          <w:tcPr>
            <w:tcW w:type="dxa" w:w="5184"/>
            <w:vAlign w:val="center"/>
          </w:tcPr>
          <w:p>
            <w:pPr>
              <w:spacing w:after="20"/>
            </w:pPr>
            <w:r/>
            <w:r>
              <w:rPr>
                <w:rFonts w:ascii="Arial" w:hAnsi="Arial"/>
                <w:b w:val="0"/>
                <w:color w:val="2B3137"/>
                <w:sz w:val="17"/>
              </w:rPr>
              <w:t>2 Marks</w:t>
            </w:r>
          </w:p>
        </w:tc>
      </w:tr>
    </w:tbl>
    <w:p/>
    <w:p>
      <w:pPr>
        <w:spacing w:after="100"/>
      </w:pPr>
      <w:r>
        <w:t>Project team shall fill the following information in the proposed solution template.</w:t>
      </w:r>
    </w:p>
    <w:tbl>
      <w:tblPr>
        <w:tblStyle w:val="TableGrid"/>
        <w:tblW w:type="auto" w:w="0"/>
        <w:jc w:val="center"/>
        <w:tblLayout w:type="fixed"/>
        <w:tblLook w:firstColumn="1" w:firstRow="1" w:lastColumn="0" w:lastRow="0" w:noHBand="0" w:noVBand="1" w:val="04A0"/>
      </w:tblPr>
      <w:tblGrid>
        <w:gridCol w:w="792"/>
        <w:gridCol w:w="3096"/>
        <w:gridCol w:w="6048"/>
      </w:tblGrid>
      <w:tr>
        <w:trPr>
          <w:tblHeader w:val="true"/>
        </w:trPr>
        <w:tc>
          <w:tcPr>
            <w:tcW w:type="dxa" w:w="3456"/>
            <w:vAlign w:val="center"/>
            <w:shd w:fill="1C4C5C"/>
          </w:tcPr>
          <w:p>
            <w:pPr>
              <w:spacing w:after="20"/>
            </w:pPr>
            <w:r/>
            <w:r>
              <w:rPr>
                <w:rFonts w:ascii="Arial" w:hAnsi="Arial"/>
                <w:b/>
                <w:color w:val="FFFFFF"/>
                <w:sz w:val="17"/>
              </w:rPr>
              <w:t>S.No.</w:t>
            </w:r>
          </w:p>
        </w:tc>
        <w:tc>
          <w:tcPr>
            <w:tcW w:type="dxa" w:w="3456"/>
            <w:vAlign w:val="center"/>
            <w:shd w:fill="1C4C5C"/>
          </w:tcPr>
          <w:p>
            <w:pPr>
              <w:spacing w:after="20"/>
            </w:pPr>
            <w:r/>
            <w:r>
              <w:rPr>
                <w:rFonts w:ascii="Arial" w:hAnsi="Arial"/>
                <w:b/>
                <w:color w:val="FFFFFF"/>
                <w:sz w:val="17"/>
              </w:rPr>
              <w:t>Parameter</w:t>
            </w:r>
          </w:p>
        </w:tc>
        <w:tc>
          <w:tcPr>
            <w:tcW w:type="dxa" w:w="3456"/>
            <w:vAlign w:val="center"/>
            <w:shd w:fill="1C4C5C"/>
          </w:tcPr>
          <w:p>
            <w:pPr>
              <w:spacing w:after="20"/>
            </w:pPr>
            <w:r/>
            <w:r>
              <w:rPr>
                <w:rFonts w:ascii="Arial" w:hAnsi="Arial"/>
                <w:b/>
                <w:color w:val="FFFFFF"/>
                <w:sz w:val="17"/>
              </w:rPr>
              <w:t>Description</w:t>
            </w:r>
          </w:p>
        </w:tc>
      </w:tr>
      <w:tr>
        <w:trPr>
          <w:trHeight w:val="1296"/>
        </w:trPr>
        <w:tc>
          <w:tcPr>
            <w:tcW w:type="dxa" w:w="792"/>
            <w:vAlign w:val="center"/>
            <w:shd w:fill="EAF1F4"/>
          </w:tcPr>
          <w:p>
            <w:pPr>
              <w:spacing w:after="20"/>
            </w:pPr>
            <w:r/>
            <w:r>
              <w:rPr>
                <w:rFonts w:ascii="Arial" w:hAnsi="Arial"/>
                <w:b/>
                <w:color w:val="2B3137"/>
                <w:sz w:val="16"/>
              </w:rPr>
              <w:t>1</w:t>
            </w:r>
          </w:p>
        </w:tc>
        <w:tc>
          <w:tcPr>
            <w:tcW w:type="dxa" w:w="3096"/>
            <w:vAlign w:val="center"/>
            <w:shd w:fill="EAF1F4"/>
          </w:tcPr>
          <w:p>
            <w:pPr>
              <w:spacing w:after="20"/>
            </w:pPr>
            <w:r/>
            <w:r>
              <w:rPr>
                <w:rFonts w:ascii="Arial" w:hAnsi="Arial"/>
                <w:b/>
                <w:color w:val="2B3137"/>
                <w:sz w:val="16"/>
              </w:rPr>
              <w:t>Problem Statement</w:t>
              <w:br/>
              <w:t>(Problem to be solved)</w:t>
            </w:r>
          </w:p>
        </w:tc>
        <w:tc>
          <w:tcPr>
            <w:tcW w:type="dxa" w:w="6048"/>
            <w:vAlign w:val="center"/>
          </w:tcPr>
          <w:p>
            <w:pPr>
              <w:spacing w:after="20"/>
            </w:pPr>
            <w:r/>
            <w:r>
              <w:rPr>
                <w:rFonts w:ascii="Arial" w:hAnsi="Arial"/>
                <w:b w:val="0"/>
                <w:color w:val="2B3137"/>
                <w:sz w:val="16"/>
              </w:rPr>
              <w:t>Employees need a consistent and traceable way to request software installation or licensing. Without a connected request, approval, and fulfillment process, requesters may be uncertain about progress and IT teams may need to clarify missing information or reconstruct approval context.</w:t>
            </w:r>
          </w:p>
        </w:tc>
      </w:tr>
      <w:tr>
        <w:trPr>
          <w:trHeight w:val="1296"/>
        </w:trPr>
        <w:tc>
          <w:tcPr>
            <w:tcW w:type="dxa" w:w="792"/>
            <w:vAlign w:val="center"/>
            <w:shd w:fill="EAF1F4"/>
          </w:tcPr>
          <w:p>
            <w:pPr>
              <w:spacing w:after="20"/>
            </w:pPr>
            <w:r/>
            <w:r>
              <w:rPr>
                <w:rFonts w:ascii="Arial" w:hAnsi="Arial"/>
                <w:b/>
                <w:color w:val="2B3137"/>
                <w:sz w:val="16"/>
              </w:rPr>
              <w:t>2</w:t>
            </w:r>
          </w:p>
        </w:tc>
        <w:tc>
          <w:tcPr>
            <w:tcW w:type="dxa" w:w="3096"/>
            <w:vAlign w:val="center"/>
            <w:shd w:fill="EAF1F4"/>
          </w:tcPr>
          <w:p>
            <w:pPr>
              <w:spacing w:after="20"/>
            </w:pPr>
            <w:r/>
            <w:r>
              <w:rPr>
                <w:rFonts w:ascii="Arial" w:hAnsi="Arial"/>
                <w:b/>
                <w:color w:val="2B3137"/>
                <w:sz w:val="16"/>
              </w:rPr>
              <w:t>Idea / Solution description</w:t>
            </w:r>
          </w:p>
        </w:tc>
        <w:tc>
          <w:tcPr>
            <w:tcW w:type="dxa" w:w="6048"/>
            <w:vAlign w:val="center"/>
          </w:tcPr>
          <w:p>
            <w:pPr>
              <w:spacing w:after="20"/>
            </w:pPr>
            <w:r/>
            <w:r>
              <w:rPr>
                <w:rFonts w:ascii="Arial" w:hAnsi="Arial"/>
                <w:b w:val="0"/>
                <w:color w:val="2B3137"/>
                <w:sz w:val="16"/>
              </w:rPr>
              <w:t>Provide a dedicated ServiceNow Service Catalog item that captures software/application details and business justification. Use Flow Designer to route the Requested Item to the configured manager, record the approval outcome, create a linked Catalog Task only after approval, and generate relevant requester and fulfillment notifications. Keep request tracking available through REQ/RITM references and portal status views.</w:t>
            </w:r>
          </w:p>
        </w:tc>
      </w:tr>
      <w:tr>
        <w:trPr>
          <w:trHeight w:val="1296"/>
        </w:trPr>
        <w:tc>
          <w:tcPr>
            <w:tcW w:type="dxa" w:w="792"/>
            <w:vAlign w:val="center"/>
            <w:shd w:fill="EAF1F4"/>
          </w:tcPr>
          <w:p>
            <w:pPr>
              <w:spacing w:after="20"/>
            </w:pPr>
            <w:r/>
            <w:r>
              <w:rPr>
                <w:rFonts w:ascii="Arial" w:hAnsi="Arial"/>
                <w:b/>
                <w:color w:val="2B3137"/>
                <w:sz w:val="16"/>
              </w:rPr>
              <w:t>3</w:t>
            </w:r>
          </w:p>
        </w:tc>
        <w:tc>
          <w:tcPr>
            <w:tcW w:type="dxa" w:w="3096"/>
            <w:vAlign w:val="center"/>
            <w:shd w:fill="EAF1F4"/>
          </w:tcPr>
          <w:p>
            <w:pPr>
              <w:spacing w:after="20"/>
            </w:pPr>
            <w:r/>
            <w:r>
              <w:rPr>
                <w:rFonts w:ascii="Arial" w:hAnsi="Arial"/>
                <w:b/>
                <w:color w:val="2B3137"/>
                <w:sz w:val="16"/>
              </w:rPr>
              <w:t>Novelty / Uniqueness</w:t>
            </w:r>
          </w:p>
        </w:tc>
        <w:tc>
          <w:tcPr>
            <w:tcW w:type="dxa" w:w="6048"/>
            <w:vAlign w:val="center"/>
          </w:tcPr>
          <w:p>
            <w:pPr>
              <w:spacing w:after="20"/>
            </w:pPr>
            <w:r/>
            <w:r>
              <w:rPr>
                <w:rFonts w:ascii="Arial" w:hAnsi="Arial"/>
                <w:b w:val="0"/>
                <w:color w:val="2B3137"/>
                <w:sz w:val="16"/>
              </w:rPr>
              <w:t>The solution's value is workflow integration rather than a new algorithm: catalog intake, manager approval, standard request records, fulfillment-task assignment, and notifications are connected in one ServiceNow process. It reuses native platform capabilities instead of requiring a separate application or tracking database.</w:t>
            </w:r>
          </w:p>
        </w:tc>
      </w:tr>
      <w:tr>
        <w:trPr>
          <w:trHeight w:val="1296"/>
        </w:trPr>
        <w:tc>
          <w:tcPr>
            <w:tcW w:type="dxa" w:w="792"/>
            <w:vAlign w:val="center"/>
            <w:shd w:fill="EAF1F4"/>
          </w:tcPr>
          <w:p>
            <w:pPr>
              <w:spacing w:after="20"/>
            </w:pPr>
            <w:r/>
            <w:r>
              <w:rPr>
                <w:rFonts w:ascii="Arial" w:hAnsi="Arial"/>
                <w:b/>
                <w:color w:val="2B3137"/>
                <w:sz w:val="16"/>
              </w:rPr>
              <w:t>4</w:t>
            </w:r>
          </w:p>
        </w:tc>
        <w:tc>
          <w:tcPr>
            <w:tcW w:type="dxa" w:w="3096"/>
            <w:vAlign w:val="center"/>
            <w:shd w:fill="EAF1F4"/>
          </w:tcPr>
          <w:p>
            <w:pPr>
              <w:spacing w:after="20"/>
            </w:pPr>
            <w:r/>
            <w:r>
              <w:rPr>
                <w:rFonts w:ascii="Arial" w:hAnsi="Arial"/>
                <w:b/>
                <w:color w:val="2B3137"/>
                <w:sz w:val="16"/>
              </w:rPr>
              <w:t>Social Impact / Customer Satisfaction</w:t>
            </w:r>
          </w:p>
        </w:tc>
        <w:tc>
          <w:tcPr>
            <w:tcW w:type="dxa" w:w="6048"/>
            <w:vAlign w:val="center"/>
          </w:tcPr>
          <w:p>
            <w:pPr>
              <w:spacing w:after="20"/>
            </w:pPr>
            <w:r/>
            <w:r>
              <w:rPr>
                <w:rFonts w:ascii="Arial" w:hAnsi="Arial"/>
                <w:b w:val="0"/>
                <w:color w:val="2B3137"/>
                <w:sz w:val="16"/>
              </w:rPr>
              <w:t>A guided form and clear status/decision communication can reduce uncertainty for employees. Managers receive a structured business justification, while the software team receives an approved, traceable task. These benefits are expected outcomes and should be validated through user feedback and end-to-end testing.</w:t>
            </w:r>
          </w:p>
        </w:tc>
      </w:tr>
      <w:tr>
        <w:trPr>
          <w:trHeight w:val="1296"/>
        </w:trPr>
        <w:tc>
          <w:tcPr>
            <w:tcW w:type="dxa" w:w="792"/>
            <w:vAlign w:val="center"/>
            <w:shd w:fill="EAF1F4"/>
          </w:tcPr>
          <w:p>
            <w:pPr>
              <w:spacing w:after="20"/>
            </w:pPr>
            <w:r/>
            <w:r>
              <w:rPr>
                <w:rFonts w:ascii="Arial" w:hAnsi="Arial"/>
                <w:b/>
                <w:color w:val="2B3137"/>
                <w:sz w:val="16"/>
              </w:rPr>
              <w:t>5</w:t>
            </w:r>
          </w:p>
        </w:tc>
        <w:tc>
          <w:tcPr>
            <w:tcW w:type="dxa" w:w="3096"/>
            <w:vAlign w:val="center"/>
            <w:shd w:fill="EAF1F4"/>
          </w:tcPr>
          <w:p>
            <w:pPr>
              <w:spacing w:after="20"/>
            </w:pPr>
            <w:r/>
            <w:r>
              <w:rPr>
                <w:rFonts w:ascii="Arial" w:hAnsi="Arial"/>
                <w:b/>
                <w:color w:val="2B3137"/>
                <w:sz w:val="16"/>
              </w:rPr>
              <w:t>Business Model (Revenue Model)</w:t>
            </w:r>
          </w:p>
        </w:tc>
        <w:tc>
          <w:tcPr>
            <w:tcW w:type="dxa" w:w="6048"/>
            <w:vAlign w:val="center"/>
          </w:tcPr>
          <w:p>
            <w:pPr>
              <w:spacing w:after="20"/>
            </w:pPr>
            <w:r/>
            <w:r>
              <w:rPr>
                <w:rFonts w:ascii="Arial" w:hAnsi="Arial"/>
                <w:b w:val="0"/>
                <w:color w:val="2B3137"/>
                <w:sz w:val="16"/>
              </w:rPr>
              <w:t>The project is an internal enterprise service-management workflow, not a standalone revenue-generating product. Its business value is operational: reducing manual coordination, improving traceability, and supporting governance of software requests. No direct revenue model is specified.</w:t>
            </w:r>
          </w:p>
        </w:tc>
      </w:tr>
      <w:tr>
        <w:trPr>
          <w:trHeight w:val="1296"/>
        </w:trPr>
        <w:tc>
          <w:tcPr>
            <w:tcW w:type="dxa" w:w="792"/>
            <w:vAlign w:val="center"/>
            <w:shd w:fill="EAF1F4"/>
          </w:tcPr>
          <w:p>
            <w:pPr>
              <w:spacing w:after="20"/>
            </w:pPr>
            <w:r/>
            <w:r>
              <w:rPr>
                <w:rFonts w:ascii="Arial" w:hAnsi="Arial"/>
                <w:b/>
                <w:color w:val="2B3137"/>
                <w:sz w:val="16"/>
              </w:rPr>
              <w:t>6</w:t>
            </w:r>
          </w:p>
        </w:tc>
        <w:tc>
          <w:tcPr>
            <w:tcW w:type="dxa" w:w="3096"/>
            <w:vAlign w:val="center"/>
            <w:shd w:fill="EAF1F4"/>
          </w:tcPr>
          <w:p>
            <w:pPr>
              <w:spacing w:after="20"/>
            </w:pPr>
            <w:r/>
            <w:r>
              <w:rPr>
                <w:rFonts w:ascii="Arial" w:hAnsi="Arial"/>
                <w:b/>
                <w:color w:val="2B3137"/>
                <w:sz w:val="16"/>
              </w:rPr>
              <w:t>Scalability of the Solution</w:t>
            </w:r>
          </w:p>
        </w:tc>
        <w:tc>
          <w:tcPr>
            <w:tcW w:type="dxa" w:w="6048"/>
            <w:vAlign w:val="center"/>
          </w:tcPr>
          <w:p>
            <w:pPr>
              <w:spacing w:after="20"/>
            </w:pPr>
            <w:r/>
            <w:r>
              <w:rPr>
                <w:rFonts w:ascii="Arial" w:hAnsi="Arial"/>
                <w:b w:val="0"/>
                <w:color w:val="2B3137"/>
                <w:sz w:val="16"/>
              </w:rPr>
              <w:t>The pattern can be extended to additional software catalog items, request types, approval rules, and fulfillment groups by updating catalog and flow configuration. Scalability remains subject to ServiceNow instance capacity, licensing, governance, and configuration quality.</w:t>
            </w:r>
          </w:p>
        </w:tc>
      </w:tr>
    </w:tbl>
    <w:p>
      <w:pPr>
        <w:pStyle w:val="Heading1"/>
        <w:spacing w:before="100" w:after="60"/>
      </w:pPr>
      <w:r>
        <w:t>Implementation principle</w:t>
      </w:r>
    </w:p>
    <w:p>
      <w:r>
        <w:t>The recommended process separates decision-making from fulfillment: an approval decision must be recorded against the Requested Item, and only an approved request should generate a fulfillment Catalog Task. A rejected request should follow a separate rejection outcome and should not enter fulfillment.</w:t>
      </w:r>
    </w:p>
    <w:p>
      <w:pPr>
        <w:pStyle w:val="Heading1"/>
        <w:spacing w:before="100" w:after="60"/>
      </w:pPr>
      <w:r>
        <w:t>Validation note</w:t>
      </w:r>
    </w:p>
    <w:p>
      <w:r>
        <w:t>This document describes the proposed solution and expected value. It does not claim measured customer satisfaction, verified operational savings, or a commercial revenue stream.</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9747C"/>
        <w:sz w:val="14"/>
      </w:rPr>
      <w:t>SOFTWARE INSTALLATION REQUEST - SERVICENOW  |  PROJECT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2B31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C4C5C"/>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C4C5C"/>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C4C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