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C4C5C"/>
          <w:sz w:val="34"/>
        </w:rPr>
        <w:t>Ideation Phase</w:t>
      </w:r>
    </w:p>
    <w:p>
      <w:pPr>
        <w:spacing w:after="160"/>
        <w:jc w:val="center"/>
      </w:pPr>
      <w:r>
        <w:rPr>
          <w:rFonts w:ascii="Arial" w:hAnsi="Arial"/>
          <w:b/>
          <w:color w:val="37434B"/>
          <w:sz w:val="24"/>
        </w:rPr>
        <w:t>Brainstorm &amp; Idea Prioritization Template</w:t>
      </w:r>
    </w:p>
    <w:tbl>
      <w:tblPr>
        <w:tblStyle w:val="TableGrid"/>
        <w:tblW w:type="auto" w:w="0"/>
        <w:jc w:val="center"/>
        <w:tblLayout w:type="fixed"/>
        <w:tblLook w:firstColumn="1" w:firstRow="1" w:lastColumn="0" w:lastRow="0" w:noHBand="0" w:noVBand="1" w:val="04A0"/>
      </w:tblPr>
      <w:tblGrid>
        <w:gridCol w:w="3096"/>
        <w:gridCol w:w="6768"/>
      </w:tblGrid>
      <w:tr>
        <w:trPr>
          <w:trHeight w:val="418"/>
        </w:trPr>
        <w:tc>
          <w:tcPr>
            <w:tcW w:type="dxa" w:w="5141"/>
            <w:vAlign w:val="center"/>
            <w:shd w:fill="EAF1F4"/>
          </w:tcPr>
          <w:p>
            <w:pPr>
              <w:spacing w:after="20"/>
            </w:pPr>
            <w:r/>
            <w:r>
              <w:rPr>
                <w:rFonts w:ascii="Arial" w:hAnsi="Arial"/>
                <w:b/>
                <w:color w:val="2D3339"/>
                <w:sz w:val="18"/>
              </w:rPr>
              <w:t>Date</w:t>
            </w:r>
          </w:p>
        </w:tc>
        <w:tc>
          <w:tcPr>
            <w:tcW w:type="dxa" w:w="5141"/>
            <w:vAlign w:val="center"/>
          </w:tcPr>
          <w:p>
            <w:pPr>
              <w:spacing w:after="20"/>
            </w:pPr>
            <w:r/>
            <w:r>
              <w:rPr>
                <w:rFonts w:ascii="Arial" w:hAnsi="Arial"/>
                <w:b w:val="0"/>
                <w:color w:val="2D3339"/>
                <w:sz w:val="18"/>
              </w:rPr>
              <w:t>To be confirmed</w:t>
            </w:r>
          </w:p>
        </w:tc>
      </w:tr>
      <w:tr>
        <w:trPr>
          <w:trHeight w:val="418"/>
        </w:trPr>
        <w:tc>
          <w:tcPr>
            <w:tcW w:type="dxa" w:w="5141"/>
            <w:vAlign w:val="center"/>
            <w:shd w:fill="EAF1F4"/>
          </w:tcPr>
          <w:p>
            <w:pPr>
              <w:spacing w:after="20"/>
            </w:pPr>
            <w:r/>
            <w:r>
              <w:rPr>
                <w:rFonts w:ascii="Arial" w:hAnsi="Arial"/>
                <w:b/>
                <w:color w:val="2D3339"/>
                <w:sz w:val="18"/>
              </w:rPr>
              <w:t>Team ID</w:t>
            </w:r>
          </w:p>
        </w:tc>
        <w:tc>
          <w:tcPr>
            <w:tcW w:type="dxa" w:w="5141"/>
            <w:vAlign w:val="center"/>
          </w:tcPr>
          <w:p>
            <w:pPr>
              <w:spacing w:after="20"/>
            </w:pPr>
            <w:r/>
            <w:r>
              <w:rPr>
                <w:rFonts w:ascii="Arial" w:hAnsi="Arial"/>
                <w:b w:val="0"/>
                <w:color w:val="2D3339"/>
                <w:sz w:val="18"/>
              </w:rPr>
              <w:t>To be provided by the project team</w:t>
            </w:r>
          </w:p>
        </w:tc>
      </w:tr>
      <w:tr>
        <w:trPr>
          <w:trHeight w:val="418"/>
        </w:trPr>
        <w:tc>
          <w:tcPr>
            <w:tcW w:type="dxa" w:w="5141"/>
            <w:vAlign w:val="center"/>
            <w:shd w:fill="EAF1F4"/>
          </w:tcPr>
          <w:p>
            <w:pPr>
              <w:spacing w:after="20"/>
            </w:pPr>
            <w:r/>
            <w:r>
              <w:rPr>
                <w:rFonts w:ascii="Arial" w:hAnsi="Arial"/>
                <w:b/>
                <w:color w:val="2D3339"/>
                <w:sz w:val="18"/>
              </w:rPr>
              <w:t>Project Name</w:t>
            </w:r>
          </w:p>
        </w:tc>
        <w:tc>
          <w:tcPr>
            <w:tcW w:type="dxa" w:w="5141"/>
            <w:vAlign w:val="center"/>
          </w:tcPr>
          <w:p>
            <w:pPr>
              <w:spacing w:after="20"/>
            </w:pPr>
            <w:r/>
            <w:r>
              <w:rPr>
                <w:rFonts w:ascii="Arial" w:hAnsi="Arial"/>
                <w:b w:val="0"/>
                <w:color w:val="2D3339"/>
                <w:sz w:val="18"/>
              </w:rPr>
              <w:t>Software Installation Request - ServiceNow</w:t>
            </w:r>
          </w:p>
        </w:tc>
      </w:tr>
      <w:tr>
        <w:trPr>
          <w:trHeight w:val="418"/>
        </w:trPr>
        <w:tc>
          <w:tcPr>
            <w:tcW w:type="dxa" w:w="5141"/>
            <w:vAlign w:val="center"/>
            <w:shd w:fill="EAF1F4"/>
          </w:tcPr>
          <w:p>
            <w:pPr>
              <w:spacing w:after="20"/>
            </w:pPr>
            <w:r/>
            <w:r>
              <w:rPr>
                <w:rFonts w:ascii="Arial" w:hAnsi="Arial"/>
                <w:b/>
                <w:color w:val="2D3339"/>
                <w:sz w:val="18"/>
              </w:rPr>
              <w:t>Maximum Marks</w:t>
            </w:r>
          </w:p>
        </w:tc>
        <w:tc>
          <w:tcPr>
            <w:tcW w:type="dxa" w:w="5141"/>
            <w:vAlign w:val="center"/>
          </w:tcPr>
          <w:p>
            <w:pPr>
              <w:spacing w:after="20"/>
            </w:pPr>
            <w:r/>
            <w:r>
              <w:rPr>
                <w:rFonts w:ascii="Arial" w:hAnsi="Arial"/>
                <w:b w:val="0"/>
                <w:color w:val="2D3339"/>
                <w:sz w:val="18"/>
              </w:rPr>
              <w:t>4 Marks</w:t>
            </w:r>
          </w:p>
        </w:tc>
      </w:tr>
    </w:tbl>
    <w:p/>
    <w:p>
      <w:pPr>
        <w:spacing w:after="60"/>
      </w:pPr>
      <w:r>
        <w:rPr>
          <w:rFonts w:ascii="Arial" w:hAnsi="Arial"/>
          <w:b/>
          <w:sz w:val="20"/>
        </w:rPr>
        <w:t>Brainstorm &amp; Idea Prioritization Template:</w:t>
      </w:r>
    </w:p>
    <w:p>
      <w:pPr>
        <w:spacing w:after="100"/>
      </w:pPr>
      <w:r>
        <w:t>This ideation document frames the problem and compares practical concepts for a ServiceNow-based software installation and license request process. The aim is to make requests easier to submit, route approvals to the appropriate manager, provide a traceable fulfillment task, and keep requesters informed. Ideas below are a structured design rationale based on the project artifacts, not a claim that a historical brainstorming workshop or numerical scoring exercise took place.</w:t>
      </w:r>
    </w:p>
    <w:p>
      <w:pPr>
        <w:pStyle w:val="Heading1"/>
        <w:spacing w:before="120" w:after="80"/>
      </w:pPr>
      <w:r>
        <w:t>Step-1: Team Gathering, Collaboration and Select the Problem Statement</w:t>
      </w:r>
    </w:p>
    <w:p>
      <w:pPr>
        <w:pStyle w:val="Heading1"/>
        <w:spacing w:before="120" w:after="80"/>
      </w:pPr>
      <w:r>
        <w:t>Problem statement</w:t>
      </w:r>
    </w:p>
    <w:p>
      <w:pPr>
        <w:spacing w:after="80"/>
      </w:pPr>
      <w:r>
        <w:t>Employees need a consistent way to request approved software installations or licenses. When requests are handled through informal messages or disconnected manual steps, the requester may have limited visibility, managers may not receive a consistent approval request, and the IT team may lack a linked fulfillment record. The project proposes a ServiceNow Service Catalog item connected to manager approval and catalog-task fulfillment, with request status and notifications supporting traceability.</w:t>
      </w:r>
    </w:p>
    <w:p>
      <w:pPr>
        <w:pStyle w:val="Heading1"/>
        <w:spacing w:before="120" w:after="80"/>
      </w:pPr>
      <w:r>
        <w:t>Stakeholders and needs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1C4C5C"/>
          </w:tcPr>
          <w:p>
            <w:pPr>
              <w:spacing w:after="20"/>
            </w:pPr>
            <w:r/>
            <w:r>
              <w:rPr>
                <w:rFonts w:ascii="Arial" w:hAnsi="Arial"/>
                <w:b/>
                <w:color w:val="FFFFFF"/>
                <w:sz w:val="18"/>
              </w:rPr>
              <w:t>Stakeholder</w:t>
            </w:r>
          </w:p>
        </w:tc>
        <w:tc>
          <w:tcPr>
            <w:tcW w:type="dxa" w:w="5141"/>
            <w:vAlign w:val="center"/>
            <w:shd w:fill="1C4C5C"/>
          </w:tcPr>
          <w:p>
            <w:pPr>
              <w:spacing w:after="20"/>
            </w:pPr>
            <w:r/>
            <w:r>
              <w:rPr>
                <w:rFonts w:ascii="Arial" w:hAnsi="Arial"/>
                <w:b/>
                <w:color w:val="FFFFFF"/>
                <w:sz w:val="18"/>
              </w:rPr>
              <w:t>Primary need</w:t>
            </w:r>
          </w:p>
        </w:tc>
      </w:tr>
      <w:tr>
        <w:tc>
          <w:tcPr>
            <w:tcW w:type="dxa" w:w="5141"/>
            <w:vAlign w:val="center"/>
          </w:tcPr>
          <w:p>
            <w:pPr>
              <w:spacing w:after="20"/>
            </w:pPr>
            <w:r/>
            <w:r>
              <w:rPr>
                <w:rFonts w:ascii="Arial" w:hAnsi="Arial"/>
                <w:b/>
                <w:color w:val="2D3339"/>
                <w:sz w:val="17"/>
              </w:rPr>
              <w:t>Employee / requester</w:t>
            </w:r>
          </w:p>
        </w:tc>
        <w:tc>
          <w:tcPr>
            <w:tcW w:type="dxa" w:w="5141"/>
            <w:vAlign w:val="center"/>
          </w:tcPr>
          <w:p>
            <w:pPr>
              <w:spacing w:after="20"/>
            </w:pPr>
            <w:r/>
            <w:r>
              <w:rPr>
                <w:rFonts w:ascii="Arial" w:hAnsi="Arial"/>
                <w:b w:val="0"/>
                <w:color w:val="2D3339"/>
                <w:sz w:val="17"/>
              </w:rPr>
              <w:t>Submit clear request details and track the request.</w:t>
            </w:r>
          </w:p>
        </w:tc>
      </w:tr>
      <w:tr>
        <w:tc>
          <w:tcPr>
            <w:tcW w:type="dxa" w:w="5141"/>
            <w:vAlign w:val="center"/>
          </w:tcPr>
          <w:p>
            <w:pPr>
              <w:spacing w:after="20"/>
            </w:pPr>
            <w:r/>
            <w:r>
              <w:rPr>
                <w:rFonts w:ascii="Arial" w:hAnsi="Arial"/>
                <w:b/>
                <w:color w:val="2D3339"/>
                <w:sz w:val="17"/>
              </w:rPr>
              <w:t>Line manager / approver</w:t>
            </w:r>
          </w:p>
        </w:tc>
        <w:tc>
          <w:tcPr>
            <w:tcW w:type="dxa" w:w="5141"/>
            <w:vAlign w:val="center"/>
          </w:tcPr>
          <w:p>
            <w:pPr>
              <w:spacing w:after="20"/>
            </w:pPr>
            <w:r/>
            <w:r>
              <w:rPr>
                <w:rFonts w:ascii="Arial" w:hAnsi="Arial"/>
                <w:b w:val="0"/>
                <w:color w:val="2D3339"/>
                <w:sz w:val="17"/>
              </w:rPr>
              <w:t>Review the business need and approve or reject the request.</w:t>
            </w:r>
          </w:p>
        </w:tc>
      </w:tr>
      <w:tr>
        <w:tc>
          <w:tcPr>
            <w:tcW w:type="dxa" w:w="5141"/>
            <w:vAlign w:val="center"/>
          </w:tcPr>
          <w:p>
            <w:pPr>
              <w:spacing w:after="20"/>
            </w:pPr>
            <w:r/>
            <w:r>
              <w:rPr>
                <w:rFonts w:ascii="Arial" w:hAnsi="Arial"/>
                <w:b/>
                <w:color w:val="2D3339"/>
                <w:sz w:val="17"/>
              </w:rPr>
              <w:t>Software support / fulfillment team</w:t>
            </w:r>
          </w:p>
        </w:tc>
        <w:tc>
          <w:tcPr>
            <w:tcW w:type="dxa" w:w="5141"/>
            <w:vAlign w:val="center"/>
          </w:tcPr>
          <w:p>
            <w:pPr>
              <w:spacing w:after="20"/>
            </w:pPr>
            <w:r/>
            <w:r>
              <w:rPr>
                <w:rFonts w:ascii="Arial" w:hAnsi="Arial"/>
                <w:b w:val="0"/>
                <w:color w:val="2D3339"/>
                <w:sz w:val="17"/>
              </w:rPr>
              <w:t>Receive an actionable task for approved work.</w:t>
            </w:r>
          </w:p>
        </w:tc>
      </w:tr>
      <w:tr>
        <w:tc>
          <w:tcPr>
            <w:tcW w:type="dxa" w:w="5141"/>
            <w:vAlign w:val="center"/>
          </w:tcPr>
          <w:p>
            <w:pPr>
              <w:spacing w:after="20"/>
            </w:pPr>
            <w:r/>
            <w:r>
              <w:rPr>
                <w:rFonts w:ascii="Arial" w:hAnsi="Arial"/>
                <w:b/>
                <w:color w:val="2D3339"/>
                <w:sz w:val="17"/>
              </w:rPr>
              <w:t>ServiceNow administrator</w:t>
            </w:r>
          </w:p>
        </w:tc>
        <w:tc>
          <w:tcPr>
            <w:tcW w:type="dxa" w:w="5141"/>
            <w:vAlign w:val="center"/>
          </w:tcPr>
          <w:p>
            <w:pPr>
              <w:spacing w:after="20"/>
            </w:pPr>
            <w:r/>
            <w:r>
              <w:rPr>
                <w:rFonts w:ascii="Arial" w:hAnsi="Arial"/>
                <w:b w:val="0"/>
                <w:color w:val="2D3339"/>
                <w:sz w:val="17"/>
              </w:rPr>
              <w:t>Maintain catalog variables, routing, notifications, and deployment configuration.</w:t>
            </w:r>
          </w:p>
        </w:tc>
      </w:tr>
    </w:tbl>
    <w:p>
      <w:pPr>
        <w:pStyle w:val="Heading1"/>
        <w:spacing w:before="120" w:after="80"/>
      </w:pPr>
      <w:r>
        <w:t>Solution direction</w:t>
      </w:r>
    </w:p>
    <w:p>
      <w:pPr>
        <w:spacing w:after="80"/>
      </w:pPr>
      <w:r>
        <w:t>Use a Service Catalog form as the single entry point; capture software and justification details; route approval to the requester's manager; create a fulfillment catalog task only after approval; and provide requester/fulfillment notifications plus REQ/RITM/SCTASK tracking.</w:t>
      </w:r>
    </w:p>
    <w:p>
      <w:pPr>
        <w:spacing w:after="20"/>
        <w:jc w:val="center"/>
      </w:pPr>
      <w:r>
        <w:drawing>
          <wp:inline xmlns:a="http://schemas.openxmlformats.org/drawingml/2006/main" xmlns:pic="http://schemas.openxmlformats.org/drawingml/2006/picture">
            <wp:extent cx="5394960" cy="2430542"/>
            <wp:docPr id="1" name="Picture 1"/>
            <wp:cNvGraphicFramePr>
              <a:graphicFrameLocks noChangeAspect="1"/>
            </wp:cNvGraphicFramePr>
            <a:graphic>
              <a:graphicData uri="http://schemas.openxmlformats.org/drawingml/2006/picture">
                <pic:pic>
                  <pic:nvPicPr>
                    <pic:cNvPr id="0" name="Catalog Item Form.png"/>
                    <pic:cNvPicPr/>
                  </pic:nvPicPr>
                  <pic:blipFill>
                    <a:blip r:embed="rId9"/>
                    <a:stretch>
                      <a:fillRect/>
                    </a:stretch>
                  </pic:blipFill>
                  <pic:spPr>
                    <a:xfrm>
                      <a:off x="0" y="0"/>
                      <a:ext cx="5394960" cy="2430542"/>
                    </a:xfrm>
                    <a:prstGeom prst="rect"/>
                  </pic:spPr>
                </pic:pic>
              </a:graphicData>
            </a:graphic>
          </wp:inline>
        </w:drawing>
      </w:r>
    </w:p>
    <w:p>
      <w:pPr>
        <w:spacing w:after="100"/>
        <w:jc w:val="center"/>
      </w:pPr>
      <w:r>
        <w:rPr>
          <w:i/>
          <w:color w:val="5F6970"/>
          <w:sz w:val="16"/>
        </w:rPr>
        <w:t>Project evidence: Service Catalog item form from the repository (Phase 3).</w:t>
      </w:r>
    </w:p>
    <w:p>
      <w:r>
        <w:br w:type="page"/>
      </w:r>
    </w:p>
    <w:p>
      <w:pPr>
        <w:spacing w:after="20"/>
        <w:jc w:val="center"/>
      </w:pPr>
      <w:r>
        <w:rPr>
          <w:rFonts w:ascii="Arial" w:hAnsi="Arial"/>
          <w:b/>
          <w:color w:val="1C4C5C"/>
          <w:sz w:val="28"/>
        </w:rPr>
        <w:t>Step-2: Brainstorm, Idea Listing and Grouping</w:t>
      </w:r>
    </w:p>
    <w:p>
      <w:pPr>
        <w:spacing w:after="120"/>
      </w:pPr>
      <w:r>
        <w:t>The ideas below are grouped by the part of the request journey they improve. The list favors practical concepts that align with the repository's ServiceNow catalog, Flow Designer, standard request records, and portal screenshots.</w:t>
      </w:r>
    </w:p>
    <w:p>
      <w:pPr>
        <w:pStyle w:val="Heading1"/>
        <w:spacing w:before="120" w:after="80"/>
      </w:pPr>
      <w:r>
        <w:t>A. Request intake and data quality</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C4C5C"/>
          </w:tcPr>
          <w:p>
            <w:pPr>
              <w:spacing w:after="20"/>
            </w:pPr>
            <w:r/>
            <w:r>
              <w:rPr>
                <w:rFonts w:ascii="Arial" w:hAnsi="Arial"/>
                <w:b/>
                <w:color w:val="FFFFFF"/>
                <w:sz w:val="17"/>
              </w:rPr>
              <w:t>Idea</w:t>
            </w:r>
          </w:p>
        </w:tc>
        <w:tc>
          <w:tcPr>
            <w:tcW w:type="dxa" w:w="5141"/>
            <w:vAlign w:val="center"/>
            <w:shd w:fill="1C4C5C"/>
          </w:tcPr>
          <w:p>
            <w:pPr>
              <w:spacing w:after="20"/>
            </w:pPr>
            <w:r/>
            <w:r>
              <w:rPr>
                <w:rFonts w:ascii="Arial" w:hAnsi="Arial"/>
                <w:b/>
                <w:color w:val="FFFFFF"/>
                <w:sz w:val="17"/>
              </w:rPr>
              <w:t>Description</w:t>
            </w:r>
          </w:p>
        </w:tc>
      </w:tr>
      <w:tr>
        <w:tc>
          <w:tcPr>
            <w:tcW w:type="dxa" w:w="5141"/>
            <w:vAlign w:val="center"/>
          </w:tcPr>
          <w:p>
            <w:pPr>
              <w:spacing w:after="20"/>
            </w:pPr>
            <w:r/>
            <w:r>
              <w:rPr>
                <w:rFonts w:ascii="Arial" w:hAnsi="Arial"/>
                <w:b/>
                <w:color w:val="2D3339"/>
                <w:sz w:val="16"/>
              </w:rPr>
              <w:t>Guided catalog form</w:t>
            </w:r>
          </w:p>
        </w:tc>
        <w:tc>
          <w:tcPr>
            <w:tcW w:type="dxa" w:w="5141"/>
            <w:vAlign w:val="center"/>
          </w:tcPr>
          <w:p>
            <w:pPr>
              <w:spacing w:after="20"/>
            </w:pPr>
            <w:r/>
            <w:r>
              <w:rPr>
                <w:rFonts w:ascii="Arial" w:hAnsi="Arial"/>
                <w:b w:val="0"/>
                <w:color w:val="2D3339"/>
                <w:sz w:val="16"/>
              </w:rPr>
              <w:t>Provide a dedicated Software category catalog item with clear field labels and help text.</w:t>
            </w:r>
          </w:p>
        </w:tc>
      </w:tr>
      <w:tr>
        <w:tc>
          <w:tcPr>
            <w:tcW w:type="dxa" w:w="5141"/>
            <w:vAlign w:val="center"/>
          </w:tcPr>
          <w:p>
            <w:pPr>
              <w:spacing w:after="20"/>
            </w:pPr>
            <w:r/>
            <w:r>
              <w:rPr>
                <w:rFonts w:ascii="Arial" w:hAnsi="Arial"/>
                <w:b/>
                <w:color w:val="2D3339"/>
                <w:sz w:val="16"/>
              </w:rPr>
              <w:t>Structured request details</w:t>
            </w:r>
          </w:p>
        </w:tc>
        <w:tc>
          <w:tcPr>
            <w:tcW w:type="dxa" w:w="5141"/>
            <w:vAlign w:val="center"/>
          </w:tcPr>
          <w:p>
            <w:pPr>
              <w:spacing w:after="20"/>
            </w:pPr>
            <w:r/>
            <w:r>
              <w:rPr>
                <w:rFonts w:ascii="Arial" w:hAnsi="Arial"/>
                <w:b w:val="0"/>
                <w:color w:val="2D3339"/>
                <w:sz w:val="16"/>
              </w:rPr>
              <w:t>Capture software name/application, required version, business justification, and urgency or request type.</w:t>
            </w:r>
          </w:p>
        </w:tc>
      </w:tr>
      <w:tr>
        <w:tc>
          <w:tcPr>
            <w:tcW w:type="dxa" w:w="5141"/>
            <w:vAlign w:val="center"/>
          </w:tcPr>
          <w:p>
            <w:pPr>
              <w:spacing w:after="20"/>
            </w:pPr>
            <w:r/>
            <w:r>
              <w:rPr>
                <w:rFonts w:ascii="Arial" w:hAnsi="Arial"/>
                <w:b/>
                <w:color w:val="2D3339"/>
                <w:sz w:val="16"/>
              </w:rPr>
              <w:t>Required-field validation</w:t>
            </w:r>
          </w:p>
        </w:tc>
        <w:tc>
          <w:tcPr>
            <w:tcW w:type="dxa" w:w="5141"/>
            <w:vAlign w:val="center"/>
          </w:tcPr>
          <w:p>
            <w:pPr>
              <w:spacing w:after="20"/>
            </w:pPr>
            <w:r/>
            <w:r>
              <w:rPr>
                <w:rFonts w:ascii="Arial" w:hAnsi="Arial"/>
                <w:b w:val="0"/>
                <w:color w:val="2D3339"/>
                <w:sz w:val="16"/>
              </w:rPr>
              <w:t>Prevent submission when critical information is missing; keep required fields consistent with the form configuration.</w:t>
            </w:r>
          </w:p>
        </w:tc>
      </w:tr>
      <w:tr>
        <w:tc>
          <w:tcPr>
            <w:tcW w:type="dxa" w:w="5141"/>
            <w:vAlign w:val="center"/>
          </w:tcPr>
          <w:p>
            <w:pPr>
              <w:spacing w:after="20"/>
            </w:pPr>
            <w:r/>
            <w:r>
              <w:rPr>
                <w:rFonts w:ascii="Arial" w:hAnsi="Arial"/>
                <w:b/>
                <w:color w:val="2D3339"/>
                <w:sz w:val="16"/>
              </w:rPr>
              <w:t>Contextual guidance</w:t>
            </w:r>
          </w:p>
        </w:tc>
        <w:tc>
          <w:tcPr>
            <w:tcW w:type="dxa" w:w="5141"/>
            <w:vAlign w:val="center"/>
          </w:tcPr>
          <w:p>
            <w:pPr>
              <w:spacing w:after="20"/>
            </w:pPr>
            <w:r/>
            <w:r>
              <w:rPr>
                <w:rFonts w:ascii="Arial" w:hAnsi="Arial"/>
                <w:b w:val="0"/>
                <w:color w:val="2D3339"/>
                <w:sz w:val="16"/>
              </w:rPr>
              <w:t>Add tooltips and example values to reduce incomplete or ambiguous submissions.</w:t>
            </w:r>
          </w:p>
        </w:tc>
      </w:tr>
    </w:tbl>
    <w:p>
      <w:pPr>
        <w:spacing w:after="20"/>
      </w:pPr>
    </w:p>
    <w:p>
      <w:pPr>
        <w:pStyle w:val="Heading1"/>
        <w:spacing w:before="120" w:after="80"/>
      </w:pPr>
      <w:r>
        <w:t>B. Approval and decision handling</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C4C5C"/>
          </w:tcPr>
          <w:p>
            <w:pPr>
              <w:spacing w:after="20"/>
            </w:pPr>
            <w:r/>
            <w:r>
              <w:rPr>
                <w:rFonts w:ascii="Arial" w:hAnsi="Arial"/>
                <w:b/>
                <w:color w:val="FFFFFF"/>
                <w:sz w:val="17"/>
              </w:rPr>
              <w:t>Idea</w:t>
            </w:r>
          </w:p>
        </w:tc>
        <w:tc>
          <w:tcPr>
            <w:tcW w:type="dxa" w:w="5141"/>
            <w:vAlign w:val="center"/>
            <w:shd w:fill="1C4C5C"/>
          </w:tcPr>
          <w:p>
            <w:pPr>
              <w:spacing w:after="20"/>
            </w:pPr>
            <w:r/>
            <w:r>
              <w:rPr>
                <w:rFonts w:ascii="Arial" w:hAnsi="Arial"/>
                <w:b/>
                <w:color w:val="FFFFFF"/>
                <w:sz w:val="17"/>
              </w:rPr>
              <w:t>Description</w:t>
            </w:r>
          </w:p>
        </w:tc>
      </w:tr>
      <w:tr>
        <w:tc>
          <w:tcPr>
            <w:tcW w:type="dxa" w:w="5141"/>
            <w:vAlign w:val="center"/>
          </w:tcPr>
          <w:p>
            <w:pPr>
              <w:spacing w:after="20"/>
            </w:pPr>
            <w:r/>
            <w:r>
              <w:rPr>
                <w:rFonts w:ascii="Arial" w:hAnsi="Arial"/>
                <w:b/>
                <w:color w:val="2D3339"/>
                <w:sz w:val="16"/>
              </w:rPr>
              <w:t>Manager-based approval</w:t>
            </w:r>
          </w:p>
        </w:tc>
        <w:tc>
          <w:tcPr>
            <w:tcW w:type="dxa" w:w="5141"/>
            <w:vAlign w:val="center"/>
          </w:tcPr>
          <w:p>
            <w:pPr>
              <w:spacing w:after="20"/>
            </w:pPr>
            <w:r/>
            <w:r>
              <w:rPr>
                <w:rFonts w:ascii="Arial" w:hAnsi="Arial"/>
                <w:b w:val="0"/>
                <w:color w:val="2D3339"/>
                <w:sz w:val="16"/>
              </w:rPr>
              <w:t>Resolve the requested-for user's manager and send an approval request.</w:t>
            </w:r>
          </w:p>
        </w:tc>
      </w:tr>
      <w:tr>
        <w:tc>
          <w:tcPr>
            <w:tcW w:type="dxa" w:w="5141"/>
            <w:vAlign w:val="center"/>
          </w:tcPr>
          <w:p>
            <w:pPr>
              <w:spacing w:after="20"/>
            </w:pPr>
            <w:r/>
            <w:r>
              <w:rPr>
                <w:rFonts w:ascii="Arial" w:hAnsi="Arial"/>
                <w:b/>
                <w:color w:val="2D3339"/>
                <w:sz w:val="16"/>
              </w:rPr>
              <w:t>Explicit decision branches</w:t>
            </w:r>
          </w:p>
        </w:tc>
        <w:tc>
          <w:tcPr>
            <w:tcW w:type="dxa" w:w="5141"/>
            <w:vAlign w:val="center"/>
          </w:tcPr>
          <w:p>
            <w:pPr>
              <w:spacing w:after="20"/>
            </w:pPr>
            <w:r/>
            <w:r>
              <w:rPr>
                <w:rFonts w:ascii="Arial" w:hAnsi="Arial"/>
                <w:b w:val="0"/>
                <w:color w:val="2D3339"/>
                <w:sz w:val="16"/>
              </w:rPr>
              <w:t>Handle Approved and Rejected outcomes separately; do not create a fulfillment task for rejected requests.</w:t>
            </w:r>
          </w:p>
        </w:tc>
      </w:tr>
      <w:tr>
        <w:tc>
          <w:tcPr>
            <w:tcW w:type="dxa" w:w="5141"/>
            <w:vAlign w:val="center"/>
          </w:tcPr>
          <w:p>
            <w:pPr>
              <w:spacing w:after="20"/>
            </w:pPr>
            <w:r/>
            <w:r>
              <w:rPr>
                <w:rFonts w:ascii="Arial" w:hAnsi="Arial"/>
                <w:b/>
                <w:color w:val="2D3339"/>
                <w:sz w:val="16"/>
              </w:rPr>
              <w:t>Approval traceability</w:t>
            </w:r>
          </w:p>
        </w:tc>
        <w:tc>
          <w:tcPr>
            <w:tcW w:type="dxa" w:w="5141"/>
            <w:vAlign w:val="center"/>
          </w:tcPr>
          <w:p>
            <w:pPr>
              <w:spacing w:after="20"/>
            </w:pPr>
            <w:r/>
            <w:r>
              <w:rPr>
                <w:rFonts w:ascii="Arial" w:hAnsi="Arial"/>
                <w:b w:val="0"/>
                <w:color w:val="2D3339"/>
                <w:sz w:val="16"/>
              </w:rPr>
              <w:t>Keep the approval associated with the Requested Item so the decision can be reviewed.</w:t>
            </w:r>
          </w:p>
        </w:tc>
      </w:tr>
    </w:tbl>
    <w:p>
      <w:pPr>
        <w:spacing w:after="20"/>
      </w:pPr>
    </w:p>
    <w:p>
      <w:pPr>
        <w:pStyle w:val="Heading1"/>
        <w:spacing w:before="120" w:after="80"/>
      </w:pPr>
      <w:r>
        <w:t>C. Fulfillment and communication</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C4C5C"/>
          </w:tcPr>
          <w:p>
            <w:pPr>
              <w:spacing w:after="20"/>
            </w:pPr>
            <w:r/>
            <w:r>
              <w:rPr>
                <w:rFonts w:ascii="Arial" w:hAnsi="Arial"/>
                <w:b/>
                <w:color w:val="FFFFFF"/>
                <w:sz w:val="17"/>
              </w:rPr>
              <w:t>Idea</w:t>
            </w:r>
          </w:p>
        </w:tc>
        <w:tc>
          <w:tcPr>
            <w:tcW w:type="dxa" w:w="5141"/>
            <w:vAlign w:val="center"/>
            <w:shd w:fill="1C4C5C"/>
          </w:tcPr>
          <w:p>
            <w:pPr>
              <w:spacing w:after="20"/>
            </w:pPr>
            <w:r/>
            <w:r>
              <w:rPr>
                <w:rFonts w:ascii="Arial" w:hAnsi="Arial"/>
                <w:b/>
                <w:color w:val="FFFFFF"/>
                <w:sz w:val="17"/>
              </w:rPr>
              <w:t>Description</w:t>
            </w:r>
          </w:p>
        </w:tc>
      </w:tr>
      <w:tr>
        <w:tc>
          <w:tcPr>
            <w:tcW w:type="dxa" w:w="5141"/>
            <w:vAlign w:val="center"/>
          </w:tcPr>
          <w:p>
            <w:pPr>
              <w:spacing w:after="20"/>
            </w:pPr>
            <w:r/>
            <w:r>
              <w:rPr>
                <w:rFonts w:ascii="Arial" w:hAnsi="Arial"/>
                <w:b/>
                <w:color w:val="2D3339"/>
                <w:sz w:val="16"/>
              </w:rPr>
              <w:t>Task creation after approval</w:t>
            </w:r>
          </w:p>
        </w:tc>
        <w:tc>
          <w:tcPr>
            <w:tcW w:type="dxa" w:w="5141"/>
            <w:vAlign w:val="center"/>
          </w:tcPr>
          <w:p>
            <w:pPr>
              <w:spacing w:after="20"/>
            </w:pPr>
            <w:r/>
            <w:r>
              <w:rPr>
                <w:rFonts w:ascii="Arial" w:hAnsi="Arial"/>
                <w:b w:val="0"/>
                <w:color w:val="2D3339"/>
                <w:sz w:val="16"/>
              </w:rPr>
              <w:t>Create a Catalog Task and route it to the Software fulfillment group only after approval.</w:t>
            </w:r>
          </w:p>
        </w:tc>
      </w:tr>
      <w:tr>
        <w:tc>
          <w:tcPr>
            <w:tcW w:type="dxa" w:w="5141"/>
            <w:vAlign w:val="center"/>
          </w:tcPr>
          <w:p>
            <w:pPr>
              <w:spacing w:after="20"/>
            </w:pPr>
            <w:r/>
            <w:r>
              <w:rPr>
                <w:rFonts w:ascii="Arial" w:hAnsi="Arial"/>
                <w:b/>
                <w:color w:val="2D3339"/>
                <w:sz w:val="16"/>
              </w:rPr>
              <w:t>Requester confirmation</w:t>
            </w:r>
          </w:p>
        </w:tc>
        <w:tc>
          <w:tcPr>
            <w:tcW w:type="dxa" w:w="5141"/>
            <w:vAlign w:val="center"/>
          </w:tcPr>
          <w:p>
            <w:pPr>
              <w:spacing w:after="20"/>
            </w:pPr>
            <w:r/>
            <w:r>
              <w:rPr>
                <w:rFonts w:ascii="Arial" w:hAnsi="Arial"/>
                <w:b w:val="0"/>
                <w:color w:val="2D3339"/>
                <w:sz w:val="16"/>
              </w:rPr>
              <w:t>Send a receipt notification after submission with the request reference.</w:t>
            </w:r>
          </w:p>
        </w:tc>
      </w:tr>
      <w:tr>
        <w:tc>
          <w:tcPr>
            <w:tcW w:type="dxa" w:w="5141"/>
            <w:vAlign w:val="center"/>
          </w:tcPr>
          <w:p>
            <w:pPr>
              <w:spacing w:after="20"/>
            </w:pPr>
            <w:r/>
            <w:r>
              <w:rPr>
                <w:rFonts w:ascii="Arial" w:hAnsi="Arial"/>
                <w:b/>
                <w:color w:val="2D3339"/>
                <w:sz w:val="16"/>
              </w:rPr>
              <w:t>Task assignment notification</w:t>
            </w:r>
          </w:p>
        </w:tc>
        <w:tc>
          <w:tcPr>
            <w:tcW w:type="dxa" w:w="5141"/>
            <w:vAlign w:val="center"/>
          </w:tcPr>
          <w:p>
            <w:pPr>
              <w:spacing w:after="20"/>
            </w:pPr>
            <w:r/>
            <w:r>
              <w:rPr>
                <w:rFonts w:ascii="Arial" w:hAnsi="Arial"/>
                <w:b w:val="0"/>
                <w:color w:val="2D3339"/>
                <w:sz w:val="16"/>
              </w:rPr>
              <w:t>Notify the responsible fulfillment group when the catalog task is created or assigned.</w:t>
            </w:r>
          </w:p>
        </w:tc>
      </w:tr>
      <w:tr>
        <w:tc>
          <w:tcPr>
            <w:tcW w:type="dxa" w:w="5141"/>
            <w:vAlign w:val="center"/>
          </w:tcPr>
          <w:p>
            <w:pPr>
              <w:spacing w:after="20"/>
            </w:pPr>
            <w:r/>
            <w:r>
              <w:rPr>
                <w:rFonts w:ascii="Arial" w:hAnsi="Arial"/>
                <w:b/>
                <w:color w:val="2D3339"/>
                <w:sz w:val="16"/>
              </w:rPr>
              <w:t>Status visibility</w:t>
            </w:r>
          </w:p>
        </w:tc>
        <w:tc>
          <w:tcPr>
            <w:tcW w:type="dxa" w:w="5141"/>
            <w:vAlign w:val="center"/>
          </w:tcPr>
          <w:p>
            <w:pPr>
              <w:spacing w:after="20"/>
            </w:pPr>
            <w:r/>
            <w:r>
              <w:rPr>
                <w:rFonts w:ascii="Arial" w:hAnsi="Arial"/>
                <w:b w:val="0"/>
                <w:color w:val="2D3339"/>
                <w:sz w:val="16"/>
              </w:rPr>
              <w:t>Use the Service Portal Request Summary / Order Status views and REQ/RITM identifiers to help users follow progress.</w:t>
            </w:r>
          </w:p>
        </w:tc>
      </w:tr>
    </w:tbl>
    <w:p>
      <w:pPr>
        <w:spacing w:after="20"/>
      </w:pPr>
    </w:p>
    <w:p>
      <w:pPr>
        <w:pStyle w:val="Heading1"/>
        <w:spacing w:before="120" w:after="80"/>
      </w:pPr>
      <w:r>
        <w:t>D. Administration and deployment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C4C5C"/>
          </w:tcPr>
          <w:p>
            <w:pPr>
              <w:spacing w:after="20"/>
            </w:pPr>
            <w:r/>
            <w:r>
              <w:rPr>
                <w:rFonts w:ascii="Arial" w:hAnsi="Arial"/>
                <w:b/>
                <w:color w:val="FFFFFF"/>
                <w:sz w:val="17"/>
              </w:rPr>
              <w:t>Idea</w:t>
            </w:r>
          </w:p>
        </w:tc>
        <w:tc>
          <w:tcPr>
            <w:tcW w:type="dxa" w:w="5141"/>
            <w:vAlign w:val="center"/>
            <w:shd w:fill="1C4C5C"/>
          </w:tcPr>
          <w:p>
            <w:pPr>
              <w:spacing w:after="20"/>
            </w:pPr>
            <w:r/>
            <w:r>
              <w:rPr>
                <w:rFonts w:ascii="Arial" w:hAnsi="Arial"/>
                <w:b/>
                <w:color w:val="FFFFFF"/>
                <w:sz w:val="17"/>
              </w:rPr>
              <w:t>Description</w:t>
            </w:r>
          </w:p>
        </w:tc>
      </w:tr>
      <w:tr>
        <w:tc>
          <w:tcPr>
            <w:tcW w:type="dxa" w:w="5141"/>
            <w:vAlign w:val="center"/>
          </w:tcPr>
          <w:p>
            <w:pPr>
              <w:spacing w:after="20"/>
            </w:pPr>
            <w:r/>
            <w:r>
              <w:rPr>
                <w:rFonts w:ascii="Arial" w:hAnsi="Arial"/>
                <w:b/>
                <w:color w:val="2D3339"/>
                <w:sz w:val="16"/>
              </w:rPr>
              <w:t>Reusable platform records</w:t>
            </w:r>
          </w:p>
        </w:tc>
        <w:tc>
          <w:tcPr>
            <w:tcW w:type="dxa" w:w="5141"/>
            <w:vAlign w:val="center"/>
          </w:tcPr>
          <w:p>
            <w:pPr>
              <w:spacing w:after="20"/>
            </w:pPr>
            <w:r/>
            <w:r>
              <w:rPr>
                <w:rFonts w:ascii="Arial" w:hAnsi="Arial"/>
                <w:b w:val="0"/>
                <w:color w:val="2D3339"/>
                <w:sz w:val="16"/>
              </w:rPr>
              <w:t>Use standard ServiceNow request, requested-item, and catalog-task records instead of a separate tracking database.</w:t>
            </w:r>
          </w:p>
        </w:tc>
      </w:tr>
      <w:tr>
        <w:tc>
          <w:tcPr>
            <w:tcW w:type="dxa" w:w="5141"/>
            <w:vAlign w:val="center"/>
          </w:tcPr>
          <w:p>
            <w:pPr>
              <w:spacing w:after="20"/>
            </w:pPr>
            <w:r/>
            <w:r>
              <w:rPr>
                <w:rFonts w:ascii="Arial" w:hAnsi="Arial"/>
                <w:b/>
                <w:color w:val="2D3339"/>
                <w:sz w:val="16"/>
              </w:rPr>
              <w:t>Update Set packaging</w:t>
            </w:r>
          </w:p>
        </w:tc>
        <w:tc>
          <w:tcPr>
            <w:tcW w:type="dxa" w:w="5141"/>
            <w:vAlign w:val="center"/>
          </w:tcPr>
          <w:p>
            <w:pPr>
              <w:spacing w:after="20"/>
            </w:pPr>
            <w:r/>
            <w:r>
              <w:rPr>
                <w:rFonts w:ascii="Arial" w:hAnsi="Arial"/>
                <w:b w:val="0"/>
                <w:color w:val="2D3339"/>
                <w:sz w:val="16"/>
              </w:rPr>
              <w:t>Package catalog item and flow configuration for controlled movement between instances.</w:t>
            </w:r>
          </w:p>
        </w:tc>
      </w:tr>
      <w:tr>
        <w:tc>
          <w:tcPr>
            <w:tcW w:type="dxa" w:w="5141"/>
            <w:vAlign w:val="center"/>
          </w:tcPr>
          <w:p>
            <w:pPr>
              <w:spacing w:after="20"/>
            </w:pPr>
            <w:r/>
            <w:r>
              <w:rPr>
                <w:rFonts w:ascii="Arial" w:hAnsi="Arial"/>
                <w:b/>
                <w:color w:val="2D3339"/>
                <w:sz w:val="16"/>
              </w:rPr>
              <w:t>End-to-end verification</w:t>
            </w:r>
          </w:p>
        </w:tc>
        <w:tc>
          <w:tcPr>
            <w:tcW w:type="dxa" w:w="5141"/>
            <w:vAlign w:val="center"/>
          </w:tcPr>
          <w:p>
            <w:pPr>
              <w:spacing w:after="20"/>
            </w:pPr>
            <w:r/>
            <w:r>
              <w:rPr>
                <w:rFonts w:ascii="Arial" w:hAnsi="Arial"/>
                <w:b w:val="0"/>
                <w:color w:val="2D3339"/>
                <w:sz w:val="16"/>
              </w:rPr>
              <w:t>Check form submission, approval outcome, task assignment, status records, and generated email records.</w:t>
            </w:r>
          </w:p>
        </w:tc>
      </w:tr>
    </w:tbl>
    <w:p>
      <w:pPr>
        <w:spacing w:after="20"/>
      </w:pPr>
    </w:p>
    <w:p>
      <w:pPr>
        <w:spacing w:after="20"/>
        <w:jc w:val="center"/>
      </w:pPr>
      <w:r>
        <w:drawing>
          <wp:inline xmlns:a="http://schemas.openxmlformats.org/drawingml/2006/main" xmlns:pic="http://schemas.openxmlformats.org/drawingml/2006/picture">
            <wp:extent cx="5212080" cy="2388021"/>
            <wp:docPr id="2" name="Picture 2"/>
            <wp:cNvGraphicFramePr>
              <a:graphicFrameLocks noChangeAspect="1"/>
            </wp:cNvGraphicFramePr>
            <a:graphic>
              <a:graphicData uri="http://schemas.openxmlformats.org/drawingml/2006/picture">
                <pic:pic>
                  <pic:nvPicPr>
                    <pic:cNvPr id="0" name="automation_flow_design.png"/>
                    <pic:cNvPicPr/>
                  </pic:nvPicPr>
                  <pic:blipFill>
                    <a:blip r:embed="rId10"/>
                    <a:stretch>
                      <a:fillRect/>
                    </a:stretch>
                  </pic:blipFill>
                  <pic:spPr>
                    <a:xfrm>
                      <a:off x="0" y="0"/>
                      <a:ext cx="5212080" cy="2388021"/>
                    </a:xfrm>
                    <a:prstGeom prst="rect"/>
                  </pic:spPr>
                </pic:pic>
              </a:graphicData>
            </a:graphic>
          </wp:inline>
        </w:drawing>
      </w:r>
    </w:p>
    <w:p>
      <w:pPr>
        <w:spacing w:after="100"/>
        <w:jc w:val="center"/>
      </w:pPr>
      <w:r>
        <w:rPr>
          <w:i/>
          <w:color w:val="5F6970"/>
          <w:sz w:val="16"/>
        </w:rPr>
        <w:t>Project evidence: Flow Designer automation concept from Phase 2. The intended design separates approval decision handling from fulfillment.</w:t>
      </w:r>
    </w:p>
    <w:p>
      <w:r>
        <w:br w:type="page"/>
      </w:r>
    </w:p>
    <w:p>
      <w:pPr>
        <w:spacing w:after="20"/>
        <w:jc w:val="center"/>
      </w:pPr>
      <w:r>
        <w:rPr>
          <w:rFonts w:ascii="Arial" w:hAnsi="Arial"/>
          <w:b/>
          <w:color w:val="1C4C5C"/>
          <w:sz w:val="28"/>
        </w:rPr>
        <w:t>Step-3: Idea Prioritization</w:t>
      </w:r>
    </w:p>
    <w:p>
      <w:pPr>
        <w:spacing w:after="120"/>
      </w:pPr>
      <w:r>
        <w:t>Prioritization is qualitative and based on user impact, operational value, and feasibility within the ServiceNow platform already used by the project. No numerical scores or historical voting results are claimed.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shd w:fill="1C4C5C"/>
          </w:tcPr>
          <w:p>
            <w:pPr>
              <w:spacing w:after="20"/>
            </w:pPr>
            <w:r/>
            <w:r>
              <w:rPr>
                <w:rFonts w:ascii="Arial" w:hAnsi="Arial"/>
                <w:b/>
                <w:color w:val="FFFFFF"/>
                <w:sz w:val="17"/>
              </w:rPr>
              <w:t>Priority</w:t>
            </w:r>
          </w:p>
        </w:tc>
        <w:tc>
          <w:tcPr>
            <w:tcW w:type="dxa" w:w="2570"/>
            <w:vAlign w:val="center"/>
            <w:shd w:fill="1C4C5C"/>
          </w:tcPr>
          <w:p>
            <w:pPr>
              <w:spacing w:after="20"/>
            </w:pPr>
            <w:r/>
            <w:r>
              <w:rPr>
                <w:rFonts w:ascii="Arial" w:hAnsi="Arial"/>
                <w:b/>
                <w:color w:val="FFFFFF"/>
                <w:sz w:val="17"/>
              </w:rPr>
              <w:t>Idea / capability</w:t>
            </w:r>
          </w:p>
        </w:tc>
        <w:tc>
          <w:tcPr>
            <w:tcW w:type="dxa" w:w="2570"/>
            <w:vAlign w:val="center"/>
            <w:shd w:fill="1C4C5C"/>
          </w:tcPr>
          <w:p>
            <w:pPr>
              <w:spacing w:after="20"/>
            </w:pPr>
            <w:r/>
            <w:r>
              <w:rPr>
                <w:rFonts w:ascii="Arial" w:hAnsi="Arial"/>
                <w:b/>
                <w:color w:val="FFFFFF"/>
                <w:sz w:val="17"/>
              </w:rPr>
              <w:t>Impact</w:t>
            </w:r>
          </w:p>
        </w:tc>
        <w:tc>
          <w:tcPr>
            <w:tcW w:type="dxa" w:w="2570"/>
            <w:vAlign w:val="center"/>
            <w:shd w:fill="1C4C5C"/>
          </w:tcPr>
          <w:p>
            <w:pPr>
              <w:spacing w:after="20"/>
            </w:pPr>
            <w:r/>
            <w:r>
              <w:rPr>
                <w:rFonts w:ascii="Arial" w:hAnsi="Arial"/>
                <w:b/>
                <w:color w:val="FFFFFF"/>
                <w:sz w:val="17"/>
              </w:rPr>
              <w:t>Rationale</w:t>
            </w:r>
          </w:p>
        </w:tc>
      </w:tr>
      <w:tr>
        <w:tc>
          <w:tcPr>
            <w:tcW w:type="dxa" w:w="2570"/>
            <w:vAlign w:val="center"/>
            <w:shd w:fill="EAF3F1"/>
          </w:tcPr>
          <w:p>
            <w:pPr>
              <w:spacing w:after="20"/>
            </w:pPr>
            <w:r/>
            <w:r>
              <w:rPr>
                <w:rFonts w:ascii="Arial" w:hAnsi="Arial"/>
                <w:b/>
                <w:color w:val="2D3339"/>
                <w:sz w:val="15"/>
              </w:rPr>
              <w:t>1 — Essential</w:t>
            </w:r>
          </w:p>
        </w:tc>
        <w:tc>
          <w:tcPr>
            <w:tcW w:type="dxa" w:w="2570"/>
            <w:vAlign w:val="center"/>
            <w:shd w:fill="EAF3F1"/>
          </w:tcPr>
          <w:p>
            <w:pPr>
              <w:spacing w:after="20"/>
            </w:pPr>
            <w:r/>
            <w:r>
              <w:rPr>
                <w:rFonts w:ascii="Arial" w:hAnsi="Arial"/>
                <w:b w:val="0"/>
                <w:color w:val="2D3339"/>
                <w:sz w:val="15"/>
              </w:rPr>
              <w:t>Guided catalog item with required request details</w:t>
            </w:r>
          </w:p>
        </w:tc>
        <w:tc>
          <w:tcPr>
            <w:tcW w:type="dxa" w:w="2570"/>
            <w:vAlign w:val="center"/>
            <w:shd w:fill="EAF3F1"/>
          </w:tcPr>
          <w:p>
            <w:pPr>
              <w:spacing w:after="20"/>
            </w:pPr>
            <w:r/>
            <w:r>
              <w:rPr>
                <w:rFonts w:ascii="Arial" w:hAnsi="Arial"/>
                <w:b w:val="0"/>
                <w:color w:val="2D3339"/>
                <w:sz w:val="15"/>
              </w:rPr>
              <w:t>High</w:t>
            </w:r>
          </w:p>
        </w:tc>
        <w:tc>
          <w:tcPr>
            <w:tcW w:type="dxa" w:w="2570"/>
            <w:vAlign w:val="center"/>
            <w:shd w:fill="EAF3F1"/>
          </w:tcPr>
          <w:p>
            <w:pPr>
              <w:spacing w:after="20"/>
            </w:pPr>
            <w:r/>
            <w:r>
              <w:rPr>
                <w:rFonts w:ascii="Arial" w:hAnsi="Arial"/>
                <w:b w:val="0"/>
                <w:color w:val="2D3339"/>
                <w:sz w:val="15"/>
              </w:rPr>
              <w:t>Creates a consistent intake and supplies the information needed for review and fulfillment.</w:t>
            </w:r>
          </w:p>
        </w:tc>
      </w:tr>
      <w:tr>
        <w:tc>
          <w:tcPr>
            <w:tcW w:type="dxa" w:w="2570"/>
            <w:vAlign w:val="center"/>
            <w:shd w:fill="EAF3F1"/>
          </w:tcPr>
          <w:p>
            <w:pPr>
              <w:spacing w:after="20"/>
            </w:pPr>
            <w:r/>
            <w:r>
              <w:rPr>
                <w:rFonts w:ascii="Arial" w:hAnsi="Arial"/>
                <w:b/>
                <w:color w:val="2D3339"/>
                <w:sz w:val="15"/>
              </w:rPr>
              <w:t>1 — Essential</w:t>
            </w:r>
          </w:p>
        </w:tc>
        <w:tc>
          <w:tcPr>
            <w:tcW w:type="dxa" w:w="2570"/>
            <w:vAlign w:val="center"/>
            <w:shd w:fill="EAF3F1"/>
          </w:tcPr>
          <w:p>
            <w:pPr>
              <w:spacing w:after="20"/>
            </w:pPr>
            <w:r/>
            <w:r>
              <w:rPr>
                <w:rFonts w:ascii="Arial" w:hAnsi="Arial"/>
                <w:b w:val="0"/>
                <w:color w:val="2D3339"/>
                <w:sz w:val="15"/>
              </w:rPr>
              <w:t>Manager approval with explicit Approved / Rejected paths</w:t>
            </w:r>
          </w:p>
        </w:tc>
        <w:tc>
          <w:tcPr>
            <w:tcW w:type="dxa" w:w="2570"/>
            <w:vAlign w:val="center"/>
            <w:shd w:fill="EAF3F1"/>
          </w:tcPr>
          <w:p>
            <w:pPr>
              <w:spacing w:after="20"/>
            </w:pPr>
            <w:r/>
            <w:r>
              <w:rPr>
                <w:rFonts w:ascii="Arial" w:hAnsi="Arial"/>
                <w:b w:val="0"/>
                <w:color w:val="2D3339"/>
                <w:sz w:val="15"/>
              </w:rPr>
              <w:t>High</w:t>
            </w:r>
          </w:p>
        </w:tc>
        <w:tc>
          <w:tcPr>
            <w:tcW w:type="dxa" w:w="2570"/>
            <w:vAlign w:val="center"/>
            <w:shd w:fill="EAF3F1"/>
          </w:tcPr>
          <w:p>
            <w:pPr>
              <w:spacing w:after="20"/>
            </w:pPr>
            <w:r/>
            <w:r>
              <w:rPr>
                <w:rFonts w:ascii="Arial" w:hAnsi="Arial"/>
                <w:b w:val="0"/>
                <w:color w:val="2D3339"/>
                <w:sz w:val="15"/>
              </w:rPr>
              <w:t>Provides a decision gate and prevents rejected requests from entering fulfillment.</w:t>
            </w:r>
          </w:p>
        </w:tc>
      </w:tr>
      <w:tr>
        <w:tc>
          <w:tcPr>
            <w:tcW w:type="dxa" w:w="2570"/>
            <w:vAlign w:val="center"/>
            <w:shd w:fill="EAF3F1"/>
          </w:tcPr>
          <w:p>
            <w:pPr>
              <w:spacing w:after="20"/>
            </w:pPr>
            <w:r/>
            <w:r>
              <w:rPr>
                <w:rFonts w:ascii="Arial" w:hAnsi="Arial"/>
                <w:b/>
                <w:color w:val="2D3339"/>
                <w:sz w:val="15"/>
              </w:rPr>
              <w:t>1 — Essential</w:t>
            </w:r>
          </w:p>
        </w:tc>
        <w:tc>
          <w:tcPr>
            <w:tcW w:type="dxa" w:w="2570"/>
            <w:vAlign w:val="center"/>
            <w:shd w:fill="EAF3F1"/>
          </w:tcPr>
          <w:p>
            <w:pPr>
              <w:spacing w:after="20"/>
            </w:pPr>
            <w:r/>
            <w:r>
              <w:rPr>
                <w:rFonts w:ascii="Arial" w:hAnsi="Arial"/>
                <w:b w:val="0"/>
                <w:color w:val="2D3339"/>
                <w:sz w:val="15"/>
              </w:rPr>
              <w:t>Catalog task created only after approval</w:t>
            </w:r>
          </w:p>
        </w:tc>
        <w:tc>
          <w:tcPr>
            <w:tcW w:type="dxa" w:w="2570"/>
            <w:vAlign w:val="center"/>
            <w:shd w:fill="EAF3F1"/>
          </w:tcPr>
          <w:p>
            <w:pPr>
              <w:spacing w:after="20"/>
            </w:pPr>
            <w:r/>
            <w:r>
              <w:rPr>
                <w:rFonts w:ascii="Arial" w:hAnsi="Arial"/>
                <w:b w:val="0"/>
                <w:color w:val="2D3339"/>
                <w:sz w:val="15"/>
              </w:rPr>
              <w:t>High</w:t>
            </w:r>
          </w:p>
        </w:tc>
        <w:tc>
          <w:tcPr>
            <w:tcW w:type="dxa" w:w="2570"/>
            <w:vAlign w:val="center"/>
            <w:shd w:fill="EAF3F1"/>
          </w:tcPr>
          <w:p>
            <w:pPr>
              <w:spacing w:after="20"/>
            </w:pPr>
            <w:r/>
            <w:r>
              <w:rPr>
                <w:rFonts w:ascii="Arial" w:hAnsi="Arial"/>
                <w:b w:val="0"/>
                <w:color w:val="2D3339"/>
                <w:sz w:val="15"/>
              </w:rPr>
              <w:t>Gives the fulfillment team an actionable, linked work record.</w:t>
            </w:r>
          </w:p>
        </w:tc>
      </w:tr>
      <w:tr>
        <w:tc>
          <w:tcPr>
            <w:tcW w:type="dxa" w:w="2570"/>
            <w:vAlign w:val="center"/>
            <w:shd w:fill="F3F5F6"/>
          </w:tcPr>
          <w:p>
            <w:pPr>
              <w:spacing w:after="20"/>
            </w:pPr>
            <w:r/>
            <w:r>
              <w:rPr>
                <w:rFonts w:ascii="Arial" w:hAnsi="Arial"/>
                <w:b/>
                <w:color w:val="2D3339"/>
                <w:sz w:val="15"/>
              </w:rPr>
              <w:t>2 — High value</w:t>
            </w:r>
          </w:p>
        </w:tc>
        <w:tc>
          <w:tcPr>
            <w:tcW w:type="dxa" w:w="2570"/>
            <w:vAlign w:val="center"/>
            <w:shd w:fill="F3F5F6"/>
          </w:tcPr>
          <w:p>
            <w:pPr>
              <w:spacing w:after="20"/>
            </w:pPr>
            <w:r/>
            <w:r>
              <w:rPr>
                <w:rFonts w:ascii="Arial" w:hAnsi="Arial"/>
                <w:b w:val="0"/>
                <w:color w:val="2D3339"/>
                <w:sz w:val="15"/>
              </w:rPr>
              <w:t>Requester confirmation and task-assignment notifications</w:t>
            </w:r>
          </w:p>
        </w:tc>
        <w:tc>
          <w:tcPr>
            <w:tcW w:type="dxa" w:w="2570"/>
            <w:vAlign w:val="center"/>
            <w:shd w:fill="F3F5F6"/>
          </w:tcPr>
          <w:p>
            <w:pPr>
              <w:spacing w:after="20"/>
            </w:pPr>
            <w:r/>
            <w:r>
              <w:rPr>
                <w:rFonts w:ascii="Arial" w:hAnsi="Arial"/>
                <w:b w:val="0"/>
                <w:color w:val="2D3339"/>
                <w:sz w:val="15"/>
              </w:rPr>
              <w:t>High</w:t>
            </w:r>
          </w:p>
        </w:tc>
        <w:tc>
          <w:tcPr>
            <w:tcW w:type="dxa" w:w="2570"/>
            <w:vAlign w:val="center"/>
            <w:shd w:fill="F3F5F6"/>
          </w:tcPr>
          <w:p>
            <w:pPr>
              <w:spacing w:after="20"/>
            </w:pPr>
            <w:r/>
            <w:r>
              <w:rPr>
                <w:rFonts w:ascii="Arial" w:hAnsi="Arial"/>
                <w:b w:val="0"/>
                <w:color w:val="2D3339"/>
                <w:sz w:val="15"/>
              </w:rPr>
              <w:t>Reduces uncertainty and communicates the next step to the relevant parties.</w:t>
            </w:r>
          </w:p>
        </w:tc>
      </w:tr>
      <w:tr>
        <w:tc>
          <w:tcPr>
            <w:tcW w:type="dxa" w:w="2570"/>
            <w:vAlign w:val="center"/>
            <w:shd w:fill="F3F5F6"/>
          </w:tcPr>
          <w:p>
            <w:pPr>
              <w:spacing w:after="20"/>
            </w:pPr>
            <w:r/>
            <w:r>
              <w:rPr>
                <w:rFonts w:ascii="Arial" w:hAnsi="Arial"/>
                <w:b/>
                <w:color w:val="2D3339"/>
                <w:sz w:val="15"/>
              </w:rPr>
              <w:t>2 — High value</w:t>
            </w:r>
          </w:p>
        </w:tc>
        <w:tc>
          <w:tcPr>
            <w:tcW w:type="dxa" w:w="2570"/>
            <w:vAlign w:val="center"/>
            <w:shd w:fill="F3F5F6"/>
          </w:tcPr>
          <w:p>
            <w:pPr>
              <w:spacing w:after="20"/>
            </w:pPr>
            <w:r/>
            <w:r>
              <w:rPr>
                <w:rFonts w:ascii="Arial" w:hAnsi="Arial"/>
                <w:b w:val="0"/>
                <w:color w:val="2D3339"/>
                <w:sz w:val="15"/>
              </w:rPr>
              <w:t>REQ/RITM status visibility in the portal</w:t>
            </w:r>
          </w:p>
        </w:tc>
        <w:tc>
          <w:tcPr>
            <w:tcW w:type="dxa" w:w="2570"/>
            <w:vAlign w:val="center"/>
            <w:shd w:fill="F3F5F6"/>
          </w:tcPr>
          <w:p>
            <w:pPr>
              <w:spacing w:after="20"/>
            </w:pPr>
            <w:r/>
            <w:r>
              <w:rPr>
                <w:rFonts w:ascii="Arial" w:hAnsi="Arial"/>
                <w:b w:val="0"/>
                <w:color w:val="2D3339"/>
                <w:sz w:val="15"/>
              </w:rPr>
              <w:t>Medium–High</w:t>
            </w:r>
          </w:p>
        </w:tc>
        <w:tc>
          <w:tcPr>
            <w:tcW w:type="dxa" w:w="2570"/>
            <w:vAlign w:val="center"/>
            <w:shd w:fill="F3F5F6"/>
          </w:tcPr>
          <w:p>
            <w:pPr>
              <w:spacing w:after="20"/>
            </w:pPr>
            <w:r/>
            <w:r>
              <w:rPr>
                <w:rFonts w:ascii="Arial" w:hAnsi="Arial"/>
                <w:b w:val="0"/>
                <w:color w:val="2D3339"/>
                <w:sz w:val="15"/>
              </w:rPr>
              <w:t>Lets requesters follow progress without relying entirely on manual updates.</w:t>
            </w:r>
          </w:p>
        </w:tc>
      </w:tr>
      <w:tr>
        <w:tc>
          <w:tcPr>
            <w:tcW w:type="dxa" w:w="2570"/>
            <w:vAlign w:val="center"/>
            <w:shd w:fill="F3F5F6"/>
          </w:tcPr>
          <w:p>
            <w:pPr>
              <w:spacing w:after="20"/>
            </w:pPr>
            <w:r/>
            <w:r>
              <w:rPr>
                <w:rFonts w:ascii="Arial" w:hAnsi="Arial"/>
                <w:b/>
                <w:color w:val="2D3339"/>
                <w:sz w:val="15"/>
              </w:rPr>
              <w:t>2 — High value</w:t>
            </w:r>
          </w:p>
        </w:tc>
        <w:tc>
          <w:tcPr>
            <w:tcW w:type="dxa" w:w="2570"/>
            <w:vAlign w:val="center"/>
            <w:shd w:fill="F3F5F6"/>
          </w:tcPr>
          <w:p>
            <w:pPr>
              <w:spacing w:after="20"/>
            </w:pPr>
            <w:r/>
            <w:r>
              <w:rPr>
                <w:rFonts w:ascii="Arial" w:hAnsi="Arial"/>
                <w:b w:val="0"/>
                <w:color w:val="2D3339"/>
                <w:sz w:val="15"/>
              </w:rPr>
              <w:t>Manager/user profile and email prerequisites</w:t>
            </w:r>
          </w:p>
        </w:tc>
        <w:tc>
          <w:tcPr>
            <w:tcW w:type="dxa" w:w="2570"/>
            <w:vAlign w:val="center"/>
            <w:shd w:fill="F3F5F6"/>
          </w:tcPr>
          <w:p>
            <w:pPr>
              <w:spacing w:after="20"/>
            </w:pPr>
            <w:r/>
            <w:r>
              <w:rPr>
                <w:rFonts w:ascii="Arial" w:hAnsi="Arial"/>
                <w:b w:val="0"/>
                <w:color w:val="2D3339"/>
                <w:sz w:val="15"/>
              </w:rPr>
              <w:t>Medium–High</w:t>
            </w:r>
          </w:p>
        </w:tc>
        <w:tc>
          <w:tcPr>
            <w:tcW w:type="dxa" w:w="2570"/>
            <w:vAlign w:val="center"/>
            <w:shd w:fill="F3F5F6"/>
          </w:tcPr>
          <w:p>
            <w:pPr>
              <w:spacing w:after="20"/>
            </w:pPr>
            <w:r/>
            <w:r>
              <w:rPr>
                <w:rFonts w:ascii="Arial" w:hAnsi="Arial"/>
                <w:b w:val="0"/>
                <w:color w:val="2D3339"/>
                <w:sz w:val="15"/>
              </w:rPr>
              <w:t>Supports dynamic approval routing and usable email recipients.</w:t>
            </w:r>
          </w:p>
        </w:tc>
      </w:tr>
      <w:tr>
        <w:tc>
          <w:tcPr>
            <w:tcW w:type="dxa" w:w="2570"/>
            <w:vAlign w:val="center"/>
            <w:shd w:fill="FAF7EF"/>
          </w:tcPr>
          <w:p>
            <w:pPr>
              <w:spacing w:after="20"/>
            </w:pPr>
            <w:r/>
            <w:r>
              <w:rPr>
                <w:rFonts w:ascii="Arial" w:hAnsi="Arial"/>
                <w:b/>
                <w:color w:val="2D3339"/>
                <w:sz w:val="15"/>
              </w:rPr>
              <w:t>3 — Supporting</w:t>
            </w:r>
          </w:p>
        </w:tc>
        <w:tc>
          <w:tcPr>
            <w:tcW w:type="dxa" w:w="2570"/>
            <w:vAlign w:val="center"/>
            <w:shd w:fill="FAF7EF"/>
          </w:tcPr>
          <w:p>
            <w:pPr>
              <w:spacing w:after="20"/>
            </w:pPr>
            <w:r/>
            <w:r>
              <w:rPr>
                <w:rFonts w:ascii="Arial" w:hAnsi="Arial"/>
                <w:b w:val="0"/>
                <w:color w:val="2D3339"/>
                <w:sz w:val="15"/>
              </w:rPr>
              <w:t>Tooltips, examples, and inline guidance</w:t>
            </w:r>
          </w:p>
        </w:tc>
        <w:tc>
          <w:tcPr>
            <w:tcW w:type="dxa" w:w="2570"/>
            <w:vAlign w:val="center"/>
            <w:shd w:fill="FAF7EF"/>
          </w:tcPr>
          <w:p>
            <w:pPr>
              <w:spacing w:after="20"/>
            </w:pPr>
            <w:r/>
            <w:r>
              <w:rPr>
                <w:rFonts w:ascii="Arial" w:hAnsi="Arial"/>
                <w:b w:val="0"/>
                <w:color w:val="2D3339"/>
                <w:sz w:val="15"/>
              </w:rPr>
              <w:t>Medium</w:t>
            </w:r>
          </w:p>
        </w:tc>
        <w:tc>
          <w:tcPr>
            <w:tcW w:type="dxa" w:w="2570"/>
            <w:vAlign w:val="center"/>
            <w:shd w:fill="FAF7EF"/>
          </w:tcPr>
          <w:p>
            <w:pPr>
              <w:spacing w:after="20"/>
            </w:pPr>
            <w:r/>
            <w:r>
              <w:rPr>
                <w:rFonts w:ascii="Arial" w:hAnsi="Arial"/>
                <w:b w:val="0"/>
                <w:color w:val="2D3339"/>
                <w:sz w:val="15"/>
              </w:rPr>
              <w:t>Improves clarity and reduces avoidable input errors.</w:t>
            </w:r>
          </w:p>
        </w:tc>
      </w:tr>
      <w:tr>
        <w:tc>
          <w:tcPr>
            <w:tcW w:type="dxa" w:w="2570"/>
            <w:vAlign w:val="center"/>
            <w:shd w:fill="FAF7EF"/>
          </w:tcPr>
          <w:p>
            <w:pPr>
              <w:spacing w:after="20"/>
            </w:pPr>
            <w:r/>
            <w:r>
              <w:rPr>
                <w:rFonts w:ascii="Arial" w:hAnsi="Arial"/>
                <w:b/>
                <w:color w:val="2D3339"/>
                <w:sz w:val="15"/>
              </w:rPr>
              <w:t>3 — Supporting</w:t>
            </w:r>
          </w:p>
        </w:tc>
        <w:tc>
          <w:tcPr>
            <w:tcW w:type="dxa" w:w="2570"/>
            <w:vAlign w:val="center"/>
            <w:shd w:fill="FAF7EF"/>
          </w:tcPr>
          <w:p>
            <w:pPr>
              <w:spacing w:after="20"/>
            </w:pPr>
            <w:r/>
            <w:r>
              <w:rPr>
                <w:rFonts w:ascii="Arial" w:hAnsi="Arial"/>
                <w:b w:val="0"/>
                <w:color w:val="2D3339"/>
                <w:sz w:val="15"/>
              </w:rPr>
              <w:t>Update Set packaging and deployment checklist</w:t>
            </w:r>
          </w:p>
        </w:tc>
        <w:tc>
          <w:tcPr>
            <w:tcW w:type="dxa" w:w="2570"/>
            <w:vAlign w:val="center"/>
            <w:shd w:fill="FAF7EF"/>
          </w:tcPr>
          <w:p>
            <w:pPr>
              <w:spacing w:after="20"/>
            </w:pPr>
            <w:r/>
            <w:r>
              <w:rPr>
                <w:rFonts w:ascii="Arial" w:hAnsi="Arial"/>
                <w:b w:val="0"/>
                <w:color w:val="2D3339"/>
                <w:sz w:val="15"/>
              </w:rPr>
              <w:t>Medium</w:t>
            </w:r>
          </w:p>
        </w:tc>
        <w:tc>
          <w:tcPr>
            <w:tcW w:type="dxa" w:w="2570"/>
            <w:vAlign w:val="center"/>
            <w:shd w:fill="FAF7EF"/>
          </w:tcPr>
          <w:p>
            <w:pPr>
              <w:spacing w:after="20"/>
            </w:pPr>
            <w:r/>
            <w:r>
              <w:rPr>
                <w:rFonts w:ascii="Arial" w:hAnsi="Arial"/>
                <w:b w:val="0"/>
                <w:color w:val="2D3339"/>
                <w:sz w:val="15"/>
              </w:rPr>
              <w:t>Supports repeatable promotion of configuration across ServiceNow instances.</w:t>
            </w:r>
          </w:p>
        </w:tc>
      </w:tr>
      <w:tr>
        <w:tc>
          <w:tcPr>
            <w:tcW w:type="dxa" w:w="2570"/>
            <w:vAlign w:val="center"/>
            <w:shd w:fill="FAF7EF"/>
          </w:tcPr>
          <w:p>
            <w:pPr>
              <w:spacing w:after="20"/>
            </w:pPr>
            <w:r/>
            <w:r>
              <w:rPr>
                <w:rFonts w:ascii="Arial" w:hAnsi="Arial"/>
                <w:b/>
                <w:color w:val="2D3339"/>
                <w:sz w:val="15"/>
              </w:rPr>
              <w:t>3 — Supporting</w:t>
            </w:r>
          </w:p>
        </w:tc>
        <w:tc>
          <w:tcPr>
            <w:tcW w:type="dxa" w:w="2570"/>
            <w:vAlign w:val="center"/>
            <w:shd w:fill="FAF7EF"/>
          </w:tcPr>
          <w:p>
            <w:pPr>
              <w:spacing w:after="20"/>
            </w:pPr>
            <w:r/>
            <w:r>
              <w:rPr>
                <w:rFonts w:ascii="Arial" w:hAnsi="Arial"/>
                <w:b w:val="0"/>
                <w:color w:val="2D3339"/>
                <w:sz w:val="15"/>
              </w:rPr>
              <w:t>End-to-end checks across records and email logs</w:t>
            </w:r>
          </w:p>
        </w:tc>
        <w:tc>
          <w:tcPr>
            <w:tcW w:type="dxa" w:w="2570"/>
            <w:vAlign w:val="center"/>
            <w:shd w:fill="FAF7EF"/>
          </w:tcPr>
          <w:p>
            <w:pPr>
              <w:spacing w:after="20"/>
            </w:pPr>
            <w:r/>
            <w:r>
              <w:rPr>
                <w:rFonts w:ascii="Arial" w:hAnsi="Arial"/>
                <w:b w:val="0"/>
                <w:color w:val="2D3339"/>
                <w:sz w:val="15"/>
              </w:rPr>
              <w:t>High</w:t>
            </w:r>
          </w:p>
        </w:tc>
        <w:tc>
          <w:tcPr>
            <w:tcW w:type="dxa" w:w="2570"/>
            <w:vAlign w:val="center"/>
            <w:shd w:fill="FAF7EF"/>
          </w:tcPr>
          <w:p>
            <w:pPr>
              <w:spacing w:after="20"/>
            </w:pPr>
            <w:r/>
            <w:r>
              <w:rPr>
                <w:rFonts w:ascii="Arial" w:hAnsi="Arial"/>
                <w:b w:val="0"/>
                <w:color w:val="2D3339"/>
                <w:sz w:val="15"/>
              </w:rPr>
              <w:t>Provides verification points for the complete request lifecycle.</w:t>
            </w:r>
          </w:p>
        </w:tc>
      </w:tr>
    </w:tbl>
    <w:p>
      <w:pPr>
        <w:pStyle w:val="Heading1"/>
        <w:spacing w:before="120" w:after="80"/>
      </w:pPr>
      <w:r>
        <w:t>Recommended implementation order</w:t>
      </w:r>
    </w:p>
    <w:p>
      <w:pPr>
        <w:pStyle w:val="ListBullet"/>
        <w:spacing w:after="40"/>
        <w:ind w:left="317" w:hanging="173"/>
      </w:pPr>
      <w:r>
        <w:t>Establish the catalog item, consistent variables, mandatory-field validation, and request record creation.</w:t>
      </w:r>
    </w:p>
    <w:p>
      <w:pPr>
        <w:pStyle w:val="ListBullet"/>
        <w:spacing w:after="40"/>
        <w:ind w:left="317" w:hanging="173"/>
      </w:pPr>
      <w:r>
        <w:t>Configure manager approval and make the approval outcome the explicit gate for fulfillment task creation.</w:t>
      </w:r>
    </w:p>
    <w:p>
      <w:pPr>
        <w:pStyle w:val="ListBullet"/>
        <w:spacing w:after="40"/>
        <w:ind w:left="317" w:hanging="173"/>
      </w:pPr>
      <w:r>
        <w:t>Add requester and fulfillment notifications, then verify recipient configuration and email logs.</w:t>
      </w:r>
    </w:p>
    <w:p>
      <w:pPr>
        <w:pStyle w:val="ListBullet"/>
        <w:spacing w:after="40"/>
        <w:ind w:left="317" w:hanging="173"/>
      </w:pPr>
      <w:r>
        <w:t>Verify request tracking in the portal and package the validated configuration in an Update Set.</w:t>
      </w:r>
    </w:p>
    <w:p>
      <w:pPr>
        <w:pStyle w:val="Heading1"/>
        <w:spacing w:before="120" w:after="80"/>
      </w:pPr>
      <w:r>
        <w:t>Success criteria for later testing</w:t>
      </w:r>
    </w:p>
    <w:p>
      <w:pPr>
        <w:pStyle w:val="ListBullet"/>
        <w:spacing w:after="40"/>
        <w:ind w:left="317" w:hanging="173"/>
      </w:pPr>
      <w:r>
        <w:t>A complete catalog submission creates a traceable REQ and Requested Item record.</w:t>
      </w:r>
    </w:p>
    <w:p>
      <w:pPr>
        <w:pStyle w:val="ListBullet"/>
        <w:spacing w:after="40"/>
        <w:ind w:left="317" w:hanging="173"/>
      </w:pPr>
      <w:r>
        <w:t>The approval is routed to the configured manager and its outcome is recorded.</w:t>
      </w:r>
    </w:p>
    <w:p>
      <w:pPr>
        <w:pStyle w:val="ListBullet"/>
        <w:spacing w:after="40"/>
        <w:ind w:left="317" w:hanging="173"/>
      </w:pPr>
      <w:r>
        <w:t>An approved request creates a Catalog Task assigned to the Software fulfillment group; a rejected request does not create a fulfillment task.</w:t>
      </w:r>
    </w:p>
    <w:p>
      <w:pPr>
        <w:pStyle w:val="ListBullet"/>
        <w:spacing w:after="40"/>
        <w:ind w:left="317" w:hanging="173"/>
      </w:pPr>
      <w:r>
        <w:t>Relevant notifications are generated for the intended recipients, and the requester can locate the request status.</w:t>
      </w:r>
    </w:p>
    <w:p>
      <w:pPr>
        <w:spacing w:before="100" w:after="40"/>
      </w:pPr>
      <w:r>
        <w:rPr>
          <w:b/>
        </w:rPr>
        <w:t xml:space="preserve">Evidence note: </w:t>
      </w:r>
      <w:r>
        <w:t>The repository includes catalog-form, portal, flow, task-mapping, and email-log screenshots. They support the solution direction; actual acceptance results should be recorded in the separate testing deliverables.</w:t>
      </w:r>
    </w:p>
    <w:sectPr w:rsidR="00FC693F" w:rsidRPr="0006063C" w:rsidSect="00034616">
      <w:footerReference w:type="default" r:id="rId11"/>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47C"/>
        <w:sz w:val="14"/>
      </w:rPr>
      <w:t>SOFTWARE INSTALLATION REQUEST - SERVICENOW  |  IDEATION PHASE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D333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4C5C"/>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4C5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C4C5C"/>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