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E2C4D6" w14:textId="3D313CB2" w:rsidR="00F11FCE" w:rsidRPr="00F11FCE" w:rsidRDefault="00F11FCE" w:rsidP="00F11FCE">
      <w:pPr>
        <w:spacing w:after="0" w:line="240" w:lineRule="auto"/>
        <w:jc w:val="center"/>
        <w:rPr>
          <w:rFonts w:ascii="IBM Plex Sans Light" w:hAnsi="IBM Plex Sans Light"/>
          <w:b/>
          <w:bCs/>
        </w:rPr>
      </w:pPr>
      <w:r w:rsidRPr="00F11FCE">
        <w:rPr>
          <w:rFonts w:ascii="IBM Plex Sans Light" w:hAnsi="IBM Plex Sans Light"/>
          <w:b/>
          <w:bCs/>
        </w:rPr>
        <w:t>Agentic AI Hackathon</w:t>
      </w:r>
    </w:p>
    <w:p w14:paraId="639E7ACA" w14:textId="2B88EEEF" w:rsidR="00F11FCE" w:rsidRDefault="00F11FCE" w:rsidP="00594ABA">
      <w:pPr>
        <w:spacing w:after="0" w:line="240" w:lineRule="auto"/>
        <w:rPr>
          <w:rFonts w:ascii="IBM Plex Sans Light" w:hAnsi="IBM Plex Sans Light"/>
        </w:rPr>
      </w:pPr>
    </w:p>
    <w:tbl>
      <w:tblPr>
        <w:tblStyle w:val="TableGrid"/>
        <w:tblW w:w="0" w:type="auto"/>
        <w:tblLook w:val="04A0" w:firstRow="1" w:lastRow="0" w:firstColumn="1" w:lastColumn="0" w:noHBand="0" w:noVBand="1"/>
      </w:tblPr>
      <w:tblGrid>
        <w:gridCol w:w="3256"/>
        <w:gridCol w:w="5760"/>
      </w:tblGrid>
      <w:tr w:rsidR="00F11FCE" w14:paraId="27BFE390" w14:textId="77777777" w:rsidTr="00F11FCE">
        <w:tc>
          <w:tcPr>
            <w:tcW w:w="9016" w:type="dxa"/>
            <w:gridSpan w:val="2"/>
            <w:shd w:val="clear" w:color="auto" w:fill="C1E4F5" w:themeFill="accent1" w:themeFillTint="33"/>
          </w:tcPr>
          <w:p w14:paraId="056250BC" w14:textId="047F1BCA" w:rsidR="00F11FCE" w:rsidRPr="00F11FCE" w:rsidRDefault="00F11FCE" w:rsidP="00594ABA">
            <w:pPr>
              <w:rPr>
                <w:rFonts w:ascii="IBM Plex Sans Light" w:hAnsi="IBM Plex Sans Light"/>
                <w:b/>
                <w:bCs/>
                <w:sz w:val="20"/>
                <w:szCs w:val="20"/>
              </w:rPr>
            </w:pPr>
            <w:r w:rsidRPr="00F11FCE">
              <w:rPr>
                <w:rFonts w:ascii="IBM Plex Sans Light" w:hAnsi="IBM Plex Sans Light"/>
                <w:b/>
                <w:bCs/>
                <w:sz w:val="20"/>
                <w:szCs w:val="20"/>
              </w:rPr>
              <w:t xml:space="preserve">Team </w:t>
            </w:r>
            <w:r w:rsidR="004003F6">
              <w:rPr>
                <w:rFonts w:ascii="IBM Plex Sans Light" w:hAnsi="IBM Plex Sans Light"/>
                <w:b/>
                <w:bCs/>
                <w:sz w:val="20"/>
                <w:szCs w:val="20"/>
              </w:rPr>
              <w:t>Section</w:t>
            </w:r>
          </w:p>
        </w:tc>
      </w:tr>
      <w:tr w:rsidR="00F11FCE" w14:paraId="4C2E5124" w14:textId="77777777" w:rsidTr="004003F6">
        <w:tc>
          <w:tcPr>
            <w:tcW w:w="3256" w:type="dxa"/>
          </w:tcPr>
          <w:p w14:paraId="2E8AFF5B" w14:textId="79A9F04D" w:rsidR="00F11FCE" w:rsidRPr="00F11FCE" w:rsidRDefault="00F11FCE" w:rsidP="00594ABA">
            <w:pPr>
              <w:rPr>
                <w:rFonts w:ascii="IBM Plex Sans Light" w:hAnsi="IBM Plex Sans Light"/>
                <w:sz w:val="20"/>
                <w:szCs w:val="20"/>
              </w:rPr>
            </w:pPr>
            <w:r w:rsidRPr="00F11FCE">
              <w:rPr>
                <w:rFonts w:ascii="IBM Plex Sans Light" w:hAnsi="IBM Plex Sans Light"/>
                <w:sz w:val="20"/>
                <w:szCs w:val="20"/>
              </w:rPr>
              <w:t>Name of team</w:t>
            </w:r>
          </w:p>
        </w:tc>
        <w:tc>
          <w:tcPr>
            <w:tcW w:w="5760" w:type="dxa"/>
          </w:tcPr>
          <w:p w14:paraId="25731D0D" w14:textId="22A45913" w:rsidR="00F11FCE" w:rsidRPr="00F11FCE" w:rsidRDefault="00511BA1" w:rsidP="00594ABA">
            <w:pPr>
              <w:rPr>
                <w:rFonts w:ascii="IBM Plex Sans Light" w:hAnsi="IBM Plex Sans Light"/>
                <w:sz w:val="20"/>
                <w:szCs w:val="20"/>
              </w:rPr>
            </w:pPr>
            <w:r>
              <w:rPr>
                <w:rFonts w:ascii="IBM Plex Sans Light" w:hAnsi="IBM Plex Sans Light"/>
                <w:sz w:val="20"/>
                <w:szCs w:val="20"/>
              </w:rPr>
              <w:t>Mr Anderson</w:t>
            </w:r>
          </w:p>
        </w:tc>
      </w:tr>
      <w:tr w:rsidR="00F11FCE" w14:paraId="3214653D" w14:textId="77777777" w:rsidTr="004003F6">
        <w:tc>
          <w:tcPr>
            <w:tcW w:w="3256" w:type="dxa"/>
          </w:tcPr>
          <w:p w14:paraId="08CE14F0" w14:textId="3B006006" w:rsidR="00F11FCE" w:rsidRPr="00F11FCE" w:rsidRDefault="002B2CC9" w:rsidP="00594ABA">
            <w:pPr>
              <w:rPr>
                <w:rFonts w:ascii="IBM Plex Sans Light" w:hAnsi="IBM Plex Sans Light"/>
                <w:sz w:val="20"/>
                <w:szCs w:val="20"/>
              </w:rPr>
            </w:pPr>
            <w:r>
              <w:rPr>
                <w:rFonts w:ascii="IBM Plex Sans Light" w:hAnsi="IBM Plex Sans Light"/>
                <w:sz w:val="20"/>
                <w:szCs w:val="20"/>
              </w:rPr>
              <w:t>Team Member 1</w:t>
            </w:r>
          </w:p>
        </w:tc>
        <w:tc>
          <w:tcPr>
            <w:tcW w:w="5760" w:type="dxa"/>
          </w:tcPr>
          <w:p w14:paraId="6505FEFF" w14:textId="344072D8" w:rsidR="00F11FCE" w:rsidRPr="00F11FCE" w:rsidRDefault="00511BA1" w:rsidP="00594ABA">
            <w:pPr>
              <w:rPr>
                <w:rFonts w:ascii="IBM Plex Sans Light" w:hAnsi="IBM Plex Sans Light"/>
                <w:sz w:val="20"/>
                <w:szCs w:val="20"/>
              </w:rPr>
            </w:pPr>
            <w:r>
              <w:rPr>
                <w:rFonts w:ascii="IBM Plex Sans Light" w:hAnsi="IBM Plex Sans Light"/>
                <w:sz w:val="20"/>
                <w:szCs w:val="20"/>
              </w:rPr>
              <w:t>Marwan Attar</w:t>
            </w:r>
          </w:p>
        </w:tc>
      </w:tr>
      <w:tr w:rsidR="00F11FCE" w14:paraId="52AD9ACF" w14:textId="77777777" w:rsidTr="004003F6">
        <w:tc>
          <w:tcPr>
            <w:tcW w:w="3256" w:type="dxa"/>
          </w:tcPr>
          <w:p w14:paraId="49A74D78" w14:textId="634509B7" w:rsidR="00F11FCE" w:rsidRPr="00F11FCE" w:rsidRDefault="002B2CC9" w:rsidP="00594ABA">
            <w:pPr>
              <w:rPr>
                <w:rFonts w:ascii="IBM Plex Sans Light" w:hAnsi="IBM Plex Sans Light"/>
                <w:sz w:val="20"/>
                <w:szCs w:val="20"/>
              </w:rPr>
            </w:pPr>
            <w:r>
              <w:rPr>
                <w:rFonts w:ascii="IBM Plex Sans Light" w:hAnsi="IBM Plex Sans Light"/>
                <w:sz w:val="20"/>
                <w:szCs w:val="20"/>
              </w:rPr>
              <w:t>Team Member 2</w:t>
            </w:r>
          </w:p>
        </w:tc>
        <w:tc>
          <w:tcPr>
            <w:tcW w:w="5760" w:type="dxa"/>
          </w:tcPr>
          <w:p w14:paraId="3253C4B1" w14:textId="3D5DBDAD" w:rsidR="00F11FCE" w:rsidRPr="00F11FCE" w:rsidRDefault="00511BA1" w:rsidP="00594ABA">
            <w:pPr>
              <w:rPr>
                <w:rFonts w:ascii="IBM Plex Sans Light" w:hAnsi="IBM Plex Sans Light"/>
                <w:sz w:val="20"/>
                <w:szCs w:val="20"/>
              </w:rPr>
            </w:pPr>
            <w:r>
              <w:rPr>
                <w:rFonts w:ascii="IBM Plex Sans Light" w:hAnsi="IBM Plex Sans Light"/>
                <w:sz w:val="20"/>
                <w:szCs w:val="20"/>
              </w:rPr>
              <w:t>Agent Smith</w:t>
            </w:r>
          </w:p>
        </w:tc>
      </w:tr>
      <w:tr w:rsidR="00F11FCE" w14:paraId="60E0ACF3" w14:textId="77777777" w:rsidTr="004003F6">
        <w:tc>
          <w:tcPr>
            <w:tcW w:w="3256" w:type="dxa"/>
          </w:tcPr>
          <w:p w14:paraId="7E812259" w14:textId="04FAD332" w:rsidR="00F11FCE" w:rsidRPr="00F11FCE" w:rsidRDefault="002B2CC9" w:rsidP="00594ABA">
            <w:pPr>
              <w:rPr>
                <w:rFonts w:ascii="IBM Plex Sans Light" w:hAnsi="IBM Plex Sans Light"/>
                <w:sz w:val="20"/>
                <w:szCs w:val="20"/>
              </w:rPr>
            </w:pPr>
            <w:r>
              <w:rPr>
                <w:rFonts w:ascii="IBM Plex Sans Light" w:hAnsi="IBM Plex Sans Light"/>
                <w:sz w:val="20"/>
                <w:szCs w:val="20"/>
              </w:rPr>
              <w:t>Team Member 3</w:t>
            </w:r>
          </w:p>
        </w:tc>
        <w:tc>
          <w:tcPr>
            <w:tcW w:w="5760" w:type="dxa"/>
          </w:tcPr>
          <w:p w14:paraId="3B0F9C01" w14:textId="1C411AC8" w:rsidR="00F11FCE" w:rsidRPr="00F11FCE" w:rsidRDefault="00511BA1" w:rsidP="00594ABA">
            <w:pPr>
              <w:rPr>
                <w:rFonts w:ascii="IBM Plex Sans Light" w:hAnsi="IBM Plex Sans Light"/>
                <w:sz w:val="20"/>
                <w:szCs w:val="20"/>
              </w:rPr>
            </w:pPr>
            <w:r>
              <w:rPr>
                <w:rFonts w:ascii="IBM Plex Sans Light" w:hAnsi="IBM Plex Sans Light"/>
                <w:sz w:val="20"/>
                <w:szCs w:val="20"/>
              </w:rPr>
              <w:t>Agent Jones</w:t>
            </w:r>
          </w:p>
        </w:tc>
      </w:tr>
      <w:tr w:rsidR="00F11FCE" w14:paraId="1F282E36" w14:textId="77777777" w:rsidTr="004003F6">
        <w:tc>
          <w:tcPr>
            <w:tcW w:w="3256" w:type="dxa"/>
          </w:tcPr>
          <w:p w14:paraId="40F05AA5" w14:textId="7CE0A64B" w:rsidR="00F11FCE" w:rsidRPr="00F11FCE" w:rsidRDefault="002B2CC9" w:rsidP="00594ABA">
            <w:pPr>
              <w:rPr>
                <w:rFonts w:ascii="IBM Plex Sans Light" w:hAnsi="IBM Plex Sans Light"/>
                <w:sz w:val="20"/>
                <w:szCs w:val="20"/>
              </w:rPr>
            </w:pPr>
            <w:r>
              <w:rPr>
                <w:rFonts w:ascii="IBM Plex Sans Light" w:hAnsi="IBM Plex Sans Light"/>
                <w:sz w:val="20"/>
                <w:szCs w:val="20"/>
              </w:rPr>
              <w:t>Team Member 4</w:t>
            </w:r>
          </w:p>
        </w:tc>
        <w:tc>
          <w:tcPr>
            <w:tcW w:w="5760" w:type="dxa"/>
          </w:tcPr>
          <w:p w14:paraId="5FD23AD7" w14:textId="055D9B7F" w:rsidR="00F11FCE" w:rsidRPr="00F11FCE" w:rsidRDefault="00511BA1" w:rsidP="00594ABA">
            <w:pPr>
              <w:rPr>
                <w:rFonts w:ascii="IBM Plex Sans Light" w:hAnsi="IBM Plex Sans Light"/>
                <w:sz w:val="20"/>
                <w:szCs w:val="20"/>
              </w:rPr>
            </w:pPr>
            <w:r>
              <w:rPr>
                <w:rFonts w:ascii="IBM Plex Sans Light" w:hAnsi="IBM Plex Sans Light"/>
                <w:sz w:val="20"/>
                <w:szCs w:val="20"/>
              </w:rPr>
              <w:t>Agent Brown</w:t>
            </w:r>
          </w:p>
        </w:tc>
      </w:tr>
      <w:tr w:rsidR="004003F6" w14:paraId="6C248FED" w14:textId="77777777" w:rsidTr="00745921">
        <w:tc>
          <w:tcPr>
            <w:tcW w:w="9016" w:type="dxa"/>
            <w:gridSpan w:val="2"/>
            <w:tcBorders>
              <w:bottom w:val="single" w:sz="4" w:space="0" w:color="auto"/>
            </w:tcBorders>
          </w:tcPr>
          <w:p w14:paraId="4A103DED" w14:textId="77777777" w:rsidR="004003F6" w:rsidRPr="00F11FCE" w:rsidRDefault="004003F6" w:rsidP="00594ABA">
            <w:pPr>
              <w:rPr>
                <w:rFonts w:ascii="IBM Plex Sans Light" w:hAnsi="IBM Plex Sans Light"/>
                <w:sz w:val="20"/>
                <w:szCs w:val="20"/>
              </w:rPr>
            </w:pPr>
          </w:p>
        </w:tc>
      </w:tr>
    </w:tbl>
    <w:p w14:paraId="05110015" w14:textId="77777777" w:rsidR="00F11FCE" w:rsidRDefault="00F11FCE" w:rsidP="00594ABA">
      <w:pPr>
        <w:spacing w:after="0" w:line="240" w:lineRule="auto"/>
        <w:rPr>
          <w:rFonts w:ascii="IBM Plex Sans Light" w:hAnsi="IBM Plex Sans Light"/>
        </w:rPr>
      </w:pPr>
    </w:p>
    <w:tbl>
      <w:tblPr>
        <w:tblStyle w:val="TableGrid"/>
        <w:tblW w:w="0" w:type="auto"/>
        <w:tblLook w:val="04A0" w:firstRow="1" w:lastRow="0" w:firstColumn="1" w:lastColumn="0" w:noHBand="0" w:noVBand="1"/>
      </w:tblPr>
      <w:tblGrid>
        <w:gridCol w:w="421"/>
        <w:gridCol w:w="2835"/>
        <w:gridCol w:w="5760"/>
      </w:tblGrid>
      <w:tr w:rsidR="004003F6" w:rsidRPr="00F11FCE" w14:paraId="3B8CCC8A" w14:textId="77777777" w:rsidTr="005659CA">
        <w:tc>
          <w:tcPr>
            <w:tcW w:w="9016" w:type="dxa"/>
            <w:gridSpan w:val="3"/>
            <w:shd w:val="clear" w:color="auto" w:fill="C1E4F5" w:themeFill="accent1" w:themeFillTint="33"/>
          </w:tcPr>
          <w:p w14:paraId="72AEEB7B" w14:textId="77777777" w:rsidR="004003F6" w:rsidRPr="00F11FCE" w:rsidRDefault="004003F6" w:rsidP="005659CA">
            <w:pPr>
              <w:rPr>
                <w:rFonts w:ascii="IBM Plex Sans Light" w:hAnsi="IBM Plex Sans Light"/>
                <w:b/>
                <w:bCs/>
                <w:sz w:val="20"/>
                <w:szCs w:val="20"/>
              </w:rPr>
            </w:pPr>
            <w:r w:rsidRPr="00F11FCE">
              <w:rPr>
                <w:rFonts w:ascii="IBM Plex Sans Light" w:hAnsi="IBM Plex Sans Light"/>
                <w:b/>
                <w:bCs/>
                <w:sz w:val="20"/>
                <w:szCs w:val="20"/>
              </w:rPr>
              <w:t xml:space="preserve">Use Case </w:t>
            </w:r>
            <w:r>
              <w:rPr>
                <w:rFonts w:ascii="IBM Plex Sans Light" w:hAnsi="IBM Plex Sans Light"/>
                <w:b/>
                <w:bCs/>
                <w:sz w:val="20"/>
                <w:szCs w:val="20"/>
              </w:rPr>
              <w:t>Section</w:t>
            </w:r>
          </w:p>
        </w:tc>
      </w:tr>
      <w:tr w:rsidR="004003F6" w:rsidRPr="00F11FCE" w14:paraId="09C85F47" w14:textId="77777777" w:rsidTr="005659CA">
        <w:tc>
          <w:tcPr>
            <w:tcW w:w="3256" w:type="dxa"/>
            <w:gridSpan w:val="2"/>
          </w:tcPr>
          <w:p w14:paraId="238F918B" w14:textId="77777777" w:rsidR="004003F6" w:rsidRPr="00F11FCE" w:rsidRDefault="004003F6" w:rsidP="005659CA">
            <w:pPr>
              <w:rPr>
                <w:rFonts w:ascii="IBM Plex Sans Light" w:hAnsi="IBM Plex Sans Light"/>
                <w:sz w:val="20"/>
                <w:szCs w:val="20"/>
              </w:rPr>
            </w:pPr>
            <w:r w:rsidRPr="00F11FCE">
              <w:rPr>
                <w:rFonts w:ascii="IBM Plex Sans Light" w:hAnsi="IBM Plex Sans Light"/>
                <w:sz w:val="20"/>
                <w:szCs w:val="20"/>
              </w:rPr>
              <w:t>Name of use case</w:t>
            </w:r>
          </w:p>
        </w:tc>
        <w:tc>
          <w:tcPr>
            <w:tcW w:w="5760" w:type="dxa"/>
          </w:tcPr>
          <w:p w14:paraId="55CF38F1" w14:textId="5E34303B" w:rsidR="004003F6" w:rsidRPr="00F11FCE" w:rsidRDefault="00511BA1" w:rsidP="005659CA">
            <w:pPr>
              <w:rPr>
                <w:rFonts w:ascii="IBM Plex Sans Light" w:hAnsi="IBM Plex Sans Light"/>
                <w:sz w:val="20"/>
                <w:szCs w:val="20"/>
              </w:rPr>
            </w:pPr>
            <w:r>
              <w:rPr>
                <w:rFonts w:ascii="IBM Plex Sans Light" w:hAnsi="IBM Plex Sans Light"/>
                <w:sz w:val="20"/>
                <w:szCs w:val="20"/>
              </w:rPr>
              <w:t xml:space="preserve">Sales Onboarding </w:t>
            </w:r>
          </w:p>
        </w:tc>
      </w:tr>
      <w:tr w:rsidR="004003F6" w:rsidRPr="00F11FCE" w14:paraId="5FBB538A" w14:textId="77777777" w:rsidTr="005659CA">
        <w:tc>
          <w:tcPr>
            <w:tcW w:w="3256" w:type="dxa"/>
            <w:gridSpan w:val="2"/>
          </w:tcPr>
          <w:p w14:paraId="66FBE595" w14:textId="77777777" w:rsidR="004003F6" w:rsidRPr="00F11FCE" w:rsidRDefault="004003F6" w:rsidP="005659CA">
            <w:pPr>
              <w:rPr>
                <w:rFonts w:ascii="IBM Plex Sans Light" w:hAnsi="IBM Plex Sans Light"/>
                <w:sz w:val="20"/>
                <w:szCs w:val="20"/>
              </w:rPr>
            </w:pPr>
            <w:r w:rsidRPr="00F11FCE">
              <w:rPr>
                <w:rFonts w:ascii="IBM Plex Sans Light" w:hAnsi="IBM Plex Sans Light"/>
                <w:sz w:val="20"/>
                <w:szCs w:val="20"/>
              </w:rPr>
              <w:t>Industry of use case</w:t>
            </w:r>
          </w:p>
        </w:tc>
        <w:tc>
          <w:tcPr>
            <w:tcW w:w="5760" w:type="dxa"/>
          </w:tcPr>
          <w:p w14:paraId="68A36735" w14:textId="5741815B" w:rsidR="004003F6" w:rsidRPr="00F11FCE" w:rsidRDefault="00511BA1" w:rsidP="005659CA">
            <w:pPr>
              <w:rPr>
                <w:rFonts w:ascii="IBM Plex Sans Light" w:hAnsi="IBM Plex Sans Light"/>
                <w:sz w:val="20"/>
                <w:szCs w:val="20"/>
              </w:rPr>
            </w:pPr>
            <w:r>
              <w:rPr>
                <w:rFonts w:ascii="IBM Plex Sans Light" w:hAnsi="IBM Plex Sans Light"/>
                <w:sz w:val="20"/>
                <w:szCs w:val="20"/>
              </w:rPr>
              <w:t>Applicable to any industry</w:t>
            </w:r>
          </w:p>
        </w:tc>
      </w:tr>
      <w:tr w:rsidR="004003F6" w:rsidRPr="00F11FCE" w14:paraId="4F6CFC42" w14:textId="77777777" w:rsidTr="005659CA">
        <w:tc>
          <w:tcPr>
            <w:tcW w:w="3256" w:type="dxa"/>
            <w:gridSpan w:val="2"/>
          </w:tcPr>
          <w:p w14:paraId="3080B591" w14:textId="77777777" w:rsidR="004003F6" w:rsidRPr="00F11FCE" w:rsidRDefault="004003F6" w:rsidP="005659CA">
            <w:pPr>
              <w:rPr>
                <w:rFonts w:ascii="IBM Plex Sans Light" w:hAnsi="IBM Plex Sans Light"/>
                <w:sz w:val="20"/>
                <w:szCs w:val="20"/>
              </w:rPr>
            </w:pPr>
            <w:r>
              <w:rPr>
                <w:rFonts w:ascii="IBM Plex Sans Light" w:hAnsi="IBM Plex Sans Light"/>
                <w:sz w:val="20"/>
                <w:szCs w:val="20"/>
              </w:rPr>
              <w:t>Description of use case</w:t>
            </w:r>
          </w:p>
        </w:tc>
        <w:tc>
          <w:tcPr>
            <w:tcW w:w="5760" w:type="dxa"/>
          </w:tcPr>
          <w:p w14:paraId="11BEE19F" w14:textId="77777777" w:rsidR="007410BA" w:rsidRDefault="00511BA1" w:rsidP="005659CA">
            <w:pPr>
              <w:rPr>
                <w:rFonts w:ascii="IBM Plex Sans Light" w:hAnsi="IBM Plex Sans Light"/>
                <w:sz w:val="20"/>
                <w:szCs w:val="20"/>
              </w:rPr>
            </w:pPr>
            <w:r>
              <w:rPr>
                <w:rFonts w:ascii="IBM Plex Sans Light" w:hAnsi="IBM Plex Sans Light"/>
                <w:sz w:val="20"/>
                <w:szCs w:val="20"/>
              </w:rPr>
              <w:t>New sales representatives joining a company (or existing reps joining a new team) might, at first</w:t>
            </w:r>
            <w:r w:rsidR="003D687A">
              <w:rPr>
                <w:rFonts w:ascii="IBM Plex Sans Light" w:hAnsi="IBM Plex Sans Light"/>
                <w:sz w:val="20"/>
                <w:szCs w:val="20"/>
              </w:rPr>
              <w:t xml:space="preserve">, and especially at </w:t>
            </w:r>
            <w:r w:rsidR="007410BA">
              <w:rPr>
                <w:rFonts w:ascii="IBM Plex Sans Light" w:hAnsi="IBM Plex Sans Light"/>
                <w:sz w:val="20"/>
                <w:szCs w:val="20"/>
              </w:rPr>
              <w:t xml:space="preserve">the </w:t>
            </w:r>
            <w:r w:rsidR="003D687A">
              <w:rPr>
                <w:rFonts w:ascii="IBM Plex Sans Light" w:hAnsi="IBM Plex Sans Light"/>
                <w:sz w:val="20"/>
                <w:szCs w:val="20"/>
              </w:rPr>
              <w:t>beginning of Q1</w:t>
            </w:r>
            <w:r>
              <w:rPr>
                <w:rFonts w:ascii="IBM Plex Sans Light" w:hAnsi="IBM Plex Sans Light"/>
                <w:sz w:val="20"/>
                <w:szCs w:val="20"/>
              </w:rPr>
              <w:t>, find it overwhelming to trawl through the mountain of information</w:t>
            </w:r>
            <w:r w:rsidR="003D687A">
              <w:rPr>
                <w:rFonts w:ascii="IBM Plex Sans Light" w:hAnsi="IBM Plex Sans Light"/>
                <w:sz w:val="20"/>
                <w:szCs w:val="20"/>
              </w:rPr>
              <w:t xml:space="preserve"> required to generate viable and actionable sales plans during the account planning phase. </w:t>
            </w:r>
          </w:p>
          <w:p w14:paraId="1D410B42" w14:textId="77777777" w:rsidR="007410BA" w:rsidRDefault="007410BA" w:rsidP="005659CA">
            <w:pPr>
              <w:rPr>
                <w:rFonts w:ascii="IBM Plex Sans Light" w:hAnsi="IBM Plex Sans Light"/>
                <w:sz w:val="20"/>
                <w:szCs w:val="20"/>
              </w:rPr>
            </w:pPr>
          </w:p>
          <w:p w14:paraId="3D0729C2" w14:textId="62E24369" w:rsidR="004003F6" w:rsidRDefault="003D687A" w:rsidP="005659CA">
            <w:pPr>
              <w:rPr>
                <w:rFonts w:ascii="IBM Plex Sans Light" w:hAnsi="IBM Plex Sans Light"/>
                <w:sz w:val="20"/>
                <w:szCs w:val="20"/>
              </w:rPr>
            </w:pPr>
            <w:r>
              <w:rPr>
                <w:rFonts w:ascii="IBM Plex Sans Light" w:hAnsi="IBM Plex Sans Light"/>
                <w:sz w:val="20"/>
                <w:szCs w:val="20"/>
              </w:rPr>
              <w:t>Common questions include:</w:t>
            </w:r>
          </w:p>
          <w:p w14:paraId="31DFD7CE" w14:textId="77777777" w:rsidR="003D687A" w:rsidRDefault="003D687A" w:rsidP="005659CA">
            <w:pPr>
              <w:rPr>
                <w:rFonts w:ascii="IBM Plex Sans Light" w:hAnsi="IBM Plex Sans Light"/>
                <w:sz w:val="20"/>
                <w:szCs w:val="20"/>
              </w:rPr>
            </w:pPr>
          </w:p>
          <w:p w14:paraId="465B58FE" w14:textId="70BFA172" w:rsidR="003D687A" w:rsidRDefault="003D687A" w:rsidP="003D687A">
            <w:pPr>
              <w:pStyle w:val="ListParagraph"/>
              <w:numPr>
                <w:ilvl w:val="0"/>
                <w:numId w:val="1"/>
              </w:numPr>
              <w:rPr>
                <w:rFonts w:ascii="IBM Plex Sans Light" w:hAnsi="IBM Plex Sans Light"/>
                <w:sz w:val="20"/>
                <w:szCs w:val="20"/>
              </w:rPr>
            </w:pPr>
            <w:r>
              <w:rPr>
                <w:rFonts w:ascii="IBM Plex Sans Light" w:hAnsi="IBM Plex Sans Light"/>
                <w:sz w:val="20"/>
                <w:szCs w:val="20"/>
              </w:rPr>
              <w:t xml:space="preserve">What </w:t>
            </w:r>
            <w:proofErr w:type="gramStart"/>
            <w:r>
              <w:rPr>
                <w:rFonts w:ascii="IBM Plex Sans Light" w:hAnsi="IBM Plex Sans Light"/>
                <w:sz w:val="20"/>
                <w:szCs w:val="20"/>
              </w:rPr>
              <w:t>are</w:t>
            </w:r>
            <w:proofErr w:type="gramEnd"/>
            <w:r>
              <w:rPr>
                <w:rFonts w:ascii="IBM Plex Sans Light" w:hAnsi="IBM Plex Sans Light"/>
                <w:sz w:val="20"/>
                <w:szCs w:val="20"/>
              </w:rPr>
              <w:t xml:space="preserve"> my account(s) this year?</w:t>
            </w:r>
          </w:p>
          <w:p w14:paraId="6F01BD46" w14:textId="6495B832" w:rsidR="003D687A" w:rsidRDefault="003D687A" w:rsidP="003D687A">
            <w:pPr>
              <w:pStyle w:val="ListParagraph"/>
              <w:numPr>
                <w:ilvl w:val="0"/>
                <w:numId w:val="1"/>
              </w:numPr>
              <w:rPr>
                <w:rFonts w:ascii="IBM Plex Sans Light" w:hAnsi="IBM Plex Sans Light"/>
                <w:sz w:val="20"/>
                <w:szCs w:val="20"/>
              </w:rPr>
            </w:pPr>
            <w:r>
              <w:rPr>
                <w:rFonts w:ascii="IBM Plex Sans Light" w:hAnsi="IBM Plex Sans Light"/>
                <w:sz w:val="20"/>
                <w:szCs w:val="20"/>
              </w:rPr>
              <w:t>Which representatives were aligned to my account(s) last financial year?</w:t>
            </w:r>
          </w:p>
          <w:p w14:paraId="41CF3D8F" w14:textId="0512A7E6" w:rsidR="003D687A" w:rsidRDefault="003D687A" w:rsidP="003D687A">
            <w:pPr>
              <w:pStyle w:val="ListParagraph"/>
              <w:numPr>
                <w:ilvl w:val="0"/>
                <w:numId w:val="1"/>
              </w:numPr>
              <w:rPr>
                <w:rFonts w:ascii="IBM Plex Sans Light" w:hAnsi="IBM Plex Sans Light"/>
                <w:sz w:val="20"/>
                <w:szCs w:val="20"/>
              </w:rPr>
            </w:pPr>
            <w:r>
              <w:rPr>
                <w:rFonts w:ascii="IBM Plex Sans Light" w:hAnsi="IBM Plex Sans Light"/>
                <w:sz w:val="20"/>
                <w:szCs w:val="20"/>
              </w:rPr>
              <w:t>What were the notable actions taken against said account(s) last financial year? (</w:t>
            </w:r>
            <w:r w:rsidR="003262F2">
              <w:rPr>
                <w:rFonts w:ascii="IBM Plex Sans Light" w:hAnsi="IBM Plex Sans Light"/>
                <w:sz w:val="20"/>
                <w:szCs w:val="20"/>
              </w:rPr>
              <w:t>for instance</w:t>
            </w:r>
            <w:r>
              <w:rPr>
                <w:rFonts w:ascii="IBM Plex Sans Light" w:hAnsi="IBM Plex Sans Light"/>
                <w:sz w:val="20"/>
                <w:szCs w:val="20"/>
              </w:rPr>
              <w:t>, ELA, purchase of net new IBM Cloud Pak Licenses, change of leadership, mergers, ongoing RFIs and so on so forth)</w:t>
            </w:r>
          </w:p>
          <w:p w14:paraId="46747FEC" w14:textId="5A033C1B" w:rsidR="003D687A" w:rsidRDefault="003D687A" w:rsidP="003D687A">
            <w:pPr>
              <w:pStyle w:val="ListParagraph"/>
              <w:numPr>
                <w:ilvl w:val="0"/>
                <w:numId w:val="1"/>
              </w:numPr>
              <w:rPr>
                <w:rFonts w:ascii="IBM Plex Sans Light" w:hAnsi="IBM Plex Sans Light"/>
                <w:sz w:val="20"/>
                <w:szCs w:val="20"/>
              </w:rPr>
            </w:pPr>
            <w:r>
              <w:rPr>
                <w:rFonts w:ascii="IBM Plex Sans Light" w:hAnsi="IBM Plex Sans Light"/>
                <w:sz w:val="20"/>
                <w:szCs w:val="20"/>
              </w:rPr>
              <w:t>Short and long-term strategies pertaining to said account(s)</w:t>
            </w:r>
          </w:p>
          <w:p w14:paraId="02BBC3EF" w14:textId="1D88E0E4" w:rsidR="003D687A" w:rsidRDefault="003D687A" w:rsidP="003D687A">
            <w:pPr>
              <w:pStyle w:val="ListParagraph"/>
              <w:numPr>
                <w:ilvl w:val="0"/>
                <w:numId w:val="1"/>
              </w:numPr>
              <w:rPr>
                <w:rFonts w:ascii="IBM Plex Sans Light" w:hAnsi="IBM Plex Sans Light"/>
                <w:sz w:val="20"/>
                <w:szCs w:val="20"/>
              </w:rPr>
            </w:pPr>
            <w:r>
              <w:rPr>
                <w:rFonts w:ascii="IBM Plex Sans Light" w:hAnsi="IBM Plex Sans Light"/>
                <w:sz w:val="20"/>
                <w:szCs w:val="20"/>
              </w:rPr>
              <w:t>Existing installs/footprints</w:t>
            </w:r>
          </w:p>
          <w:p w14:paraId="6F4FC517" w14:textId="13E95AFC" w:rsidR="00C148D4" w:rsidRDefault="00C148D4" w:rsidP="003D687A">
            <w:pPr>
              <w:pStyle w:val="ListParagraph"/>
              <w:numPr>
                <w:ilvl w:val="0"/>
                <w:numId w:val="1"/>
              </w:numPr>
              <w:rPr>
                <w:rFonts w:ascii="IBM Plex Sans Light" w:hAnsi="IBM Plex Sans Light"/>
                <w:sz w:val="20"/>
                <w:szCs w:val="20"/>
              </w:rPr>
            </w:pPr>
            <w:r>
              <w:rPr>
                <w:rFonts w:ascii="IBM Plex Sans Light" w:hAnsi="IBM Plex Sans Light"/>
                <w:sz w:val="20"/>
                <w:szCs w:val="20"/>
              </w:rPr>
              <w:t>Unique insights &amp; lessons learnt</w:t>
            </w:r>
          </w:p>
          <w:p w14:paraId="4887032C" w14:textId="09212395" w:rsidR="003D687A" w:rsidRPr="003D687A" w:rsidRDefault="00C148D4" w:rsidP="003D687A">
            <w:pPr>
              <w:pStyle w:val="ListParagraph"/>
              <w:numPr>
                <w:ilvl w:val="0"/>
                <w:numId w:val="1"/>
              </w:numPr>
              <w:rPr>
                <w:rFonts w:ascii="IBM Plex Sans Light" w:hAnsi="IBM Plex Sans Light"/>
                <w:sz w:val="20"/>
                <w:szCs w:val="20"/>
              </w:rPr>
            </w:pPr>
            <w:r>
              <w:rPr>
                <w:rFonts w:ascii="IBM Plex Sans Light" w:hAnsi="IBM Plex Sans Light"/>
                <w:sz w:val="20"/>
                <w:szCs w:val="20"/>
              </w:rPr>
              <w:t>Etc.</w:t>
            </w:r>
          </w:p>
          <w:p w14:paraId="722A2BF7" w14:textId="77777777" w:rsidR="00511BA1" w:rsidRDefault="00511BA1" w:rsidP="005659CA">
            <w:pPr>
              <w:rPr>
                <w:rFonts w:ascii="IBM Plex Sans Light" w:hAnsi="IBM Plex Sans Light"/>
                <w:sz w:val="20"/>
                <w:szCs w:val="20"/>
              </w:rPr>
            </w:pPr>
          </w:p>
          <w:p w14:paraId="77559A90" w14:textId="77777777" w:rsidR="007410BA" w:rsidRDefault="007410BA" w:rsidP="005659CA">
            <w:pPr>
              <w:rPr>
                <w:rFonts w:ascii="IBM Plex Sans Light" w:hAnsi="IBM Plex Sans Light"/>
                <w:sz w:val="20"/>
                <w:szCs w:val="20"/>
              </w:rPr>
            </w:pPr>
          </w:p>
          <w:p w14:paraId="16024399" w14:textId="0BAE8BA3" w:rsidR="003D687A" w:rsidRDefault="003D687A" w:rsidP="005659CA">
            <w:pPr>
              <w:rPr>
                <w:rFonts w:ascii="IBM Plex Sans Light" w:hAnsi="IBM Plex Sans Light"/>
                <w:sz w:val="20"/>
                <w:szCs w:val="20"/>
              </w:rPr>
            </w:pPr>
            <w:r>
              <w:rPr>
                <w:rFonts w:ascii="IBM Plex Sans Light" w:hAnsi="IBM Plex Sans Light"/>
                <w:sz w:val="20"/>
                <w:szCs w:val="20"/>
              </w:rPr>
              <w:t xml:space="preserve">As you can see, this information is </w:t>
            </w:r>
            <w:r w:rsidR="007410BA">
              <w:rPr>
                <w:rFonts w:ascii="IBM Plex Sans Light" w:hAnsi="IBM Plex Sans Light"/>
                <w:sz w:val="20"/>
                <w:szCs w:val="20"/>
              </w:rPr>
              <w:t xml:space="preserve">typically </w:t>
            </w:r>
            <w:r>
              <w:rPr>
                <w:rFonts w:ascii="IBM Plex Sans Light" w:hAnsi="IBM Plex Sans Light"/>
                <w:sz w:val="20"/>
                <w:szCs w:val="20"/>
              </w:rPr>
              <w:t xml:space="preserve">distributed </w:t>
            </w:r>
            <w:r w:rsidR="007410BA">
              <w:rPr>
                <w:rFonts w:ascii="IBM Plex Sans Light" w:hAnsi="IBM Plex Sans Light"/>
                <w:sz w:val="20"/>
                <w:szCs w:val="20"/>
              </w:rPr>
              <w:t xml:space="preserve">across different data sources. Taking an IBM lens, existing installs can be found in </w:t>
            </w:r>
            <w:proofErr w:type="spellStart"/>
            <w:r w:rsidR="007410BA">
              <w:rPr>
                <w:rFonts w:ascii="IBM Plex Sans Light" w:hAnsi="IBM Plex Sans Light"/>
                <w:sz w:val="20"/>
                <w:szCs w:val="20"/>
              </w:rPr>
              <w:t>FastPass</w:t>
            </w:r>
            <w:proofErr w:type="spellEnd"/>
            <w:r w:rsidR="007410BA">
              <w:rPr>
                <w:rFonts w:ascii="IBM Plex Sans Light" w:hAnsi="IBM Plex Sans Light"/>
                <w:sz w:val="20"/>
                <w:szCs w:val="20"/>
              </w:rPr>
              <w:t>/SQO</w:t>
            </w:r>
            <w:r w:rsidR="00B65504">
              <w:rPr>
                <w:rFonts w:ascii="IBM Plex Sans Light" w:hAnsi="IBM Plex Sans Light"/>
                <w:sz w:val="20"/>
                <w:szCs w:val="20"/>
              </w:rPr>
              <w:t xml:space="preserve">, whereas </w:t>
            </w:r>
            <w:r w:rsidR="007410BA">
              <w:rPr>
                <w:rFonts w:ascii="IBM Plex Sans Light" w:hAnsi="IBM Plex Sans Light"/>
                <w:sz w:val="20"/>
                <w:szCs w:val="20"/>
              </w:rPr>
              <w:t>notable actions, stakeholders and strategies can be found in a combination of Box/OneDrive, Quip and Salesforce.</w:t>
            </w:r>
            <w:r w:rsidR="00C148D4">
              <w:rPr>
                <w:rFonts w:ascii="IBM Plex Sans Light" w:hAnsi="IBM Plex Sans Light"/>
                <w:sz w:val="20"/>
                <w:szCs w:val="20"/>
              </w:rPr>
              <w:t xml:space="preserve"> Furthermore, while Quip plans are typically one </w:t>
            </w:r>
            <w:proofErr w:type="gramStart"/>
            <w:r w:rsidR="00C148D4">
              <w:rPr>
                <w:rFonts w:ascii="IBM Plex Sans Light" w:hAnsi="IBM Plex Sans Light"/>
                <w:sz w:val="20"/>
                <w:szCs w:val="20"/>
              </w:rPr>
              <w:t>pagers</w:t>
            </w:r>
            <w:proofErr w:type="gramEnd"/>
            <w:r w:rsidR="00C148D4">
              <w:rPr>
                <w:rFonts w:ascii="IBM Plex Sans Light" w:hAnsi="IBM Plex Sans Light"/>
                <w:sz w:val="20"/>
                <w:szCs w:val="20"/>
              </w:rPr>
              <w:t xml:space="preserve"> (</w:t>
            </w:r>
            <w:proofErr w:type="spellStart"/>
            <w:r w:rsidR="00C148D4">
              <w:rPr>
                <w:rFonts w:ascii="IBM Plex Sans Light" w:hAnsi="IBM Plex Sans Light"/>
                <w:sz w:val="20"/>
                <w:szCs w:val="20"/>
              </w:rPr>
              <w:t>ie</w:t>
            </w:r>
            <w:proofErr w:type="spellEnd"/>
            <w:r w:rsidR="00C148D4">
              <w:rPr>
                <w:rFonts w:ascii="IBM Plex Sans Light" w:hAnsi="IBM Plex Sans Light"/>
                <w:sz w:val="20"/>
                <w:szCs w:val="20"/>
              </w:rPr>
              <w:t>, one document), this is not the case with Box/One Drive, where information pertaining to an account is typically distributed against a number of documents.</w:t>
            </w:r>
          </w:p>
          <w:p w14:paraId="308D92FC" w14:textId="77777777" w:rsidR="007410BA" w:rsidRDefault="007410BA" w:rsidP="005659CA">
            <w:pPr>
              <w:rPr>
                <w:rFonts w:ascii="IBM Plex Sans Light" w:hAnsi="IBM Plex Sans Light"/>
                <w:sz w:val="20"/>
                <w:szCs w:val="20"/>
              </w:rPr>
            </w:pPr>
          </w:p>
          <w:p w14:paraId="3E1C50E0" w14:textId="7C6E0BD1" w:rsidR="00511BA1" w:rsidRDefault="007410BA" w:rsidP="005659CA">
            <w:pPr>
              <w:rPr>
                <w:rFonts w:ascii="IBM Plex Sans Light" w:hAnsi="IBM Plex Sans Light"/>
                <w:sz w:val="20"/>
                <w:szCs w:val="20"/>
              </w:rPr>
            </w:pPr>
            <w:r>
              <w:rPr>
                <w:rFonts w:ascii="IBM Plex Sans Light" w:hAnsi="IBM Plex Sans Light"/>
                <w:sz w:val="20"/>
                <w:szCs w:val="20"/>
              </w:rPr>
              <w:t>To top it off, a new joiner would typically request access to those systems, which can take a couple of days to approve, further increasing the delay.</w:t>
            </w:r>
            <w:r w:rsidR="00C148D4">
              <w:rPr>
                <w:rFonts w:ascii="IBM Plex Sans Light" w:hAnsi="IBM Plex Sans Light"/>
                <w:sz w:val="20"/>
                <w:szCs w:val="20"/>
              </w:rPr>
              <w:t xml:space="preserve"> As a result, new joiners would typically set some time with the respective representatives for, depending on circumstances, a handover or an enablement, which typically takes hours.</w:t>
            </w:r>
          </w:p>
          <w:p w14:paraId="48F2D815" w14:textId="77777777" w:rsidR="007410BA" w:rsidRDefault="007410BA" w:rsidP="005659CA">
            <w:pPr>
              <w:rPr>
                <w:rFonts w:ascii="IBM Plex Sans Light" w:hAnsi="IBM Plex Sans Light"/>
                <w:sz w:val="20"/>
                <w:szCs w:val="20"/>
              </w:rPr>
            </w:pPr>
          </w:p>
          <w:p w14:paraId="067938F4" w14:textId="3389E4B8" w:rsidR="007410BA" w:rsidRDefault="007410BA" w:rsidP="005659CA">
            <w:pPr>
              <w:rPr>
                <w:rFonts w:ascii="IBM Plex Sans Light" w:hAnsi="IBM Plex Sans Light"/>
                <w:sz w:val="20"/>
                <w:szCs w:val="20"/>
              </w:rPr>
            </w:pPr>
            <w:r>
              <w:rPr>
                <w:rFonts w:ascii="IBM Plex Sans Light" w:hAnsi="IBM Plex Sans Light"/>
                <w:sz w:val="20"/>
                <w:szCs w:val="20"/>
              </w:rPr>
              <w:t>In an attempt to have those questions</w:t>
            </w:r>
            <w:r w:rsidR="00C148D4">
              <w:rPr>
                <w:rFonts w:ascii="IBM Plex Sans Light" w:hAnsi="IBM Plex Sans Light"/>
                <w:sz w:val="20"/>
                <w:szCs w:val="20"/>
              </w:rPr>
              <w:t xml:space="preserve"> answered with minimal latency</w:t>
            </w:r>
            <w:r>
              <w:rPr>
                <w:rFonts w:ascii="IBM Plex Sans Light" w:hAnsi="IBM Plex Sans Light"/>
                <w:sz w:val="20"/>
                <w:szCs w:val="20"/>
              </w:rPr>
              <w:t xml:space="preserve">, </w:t>
            </w:r>
            <w:r w:rsidR="00C148D4">
              <w:rPr>
                <w:rFonts w:ascii="IBM Plex Sans Light" w:hAnsi="IBM Plex Sans Light"/>
                <w:sz w:val="20"/>
                <w:szCs w:val="20"/>
              </w:rPr>
              <w:t xml:space="preserve">and to reduce load on existing reps during such a critical phase, </w:t>
            </w:r>
            <w:r>
              <w:rPr>
                <w:rFonts w:ascii="IBM Plex Sans Light" w:hAnsi="IBM Plex Sans Light"/>
                <w:sz w:val="20"/>
                <w:szCs w:val="20"/>
              </w:rPr>
              <w:t>one might propose the deployment of</w:t>
            </w:r>
            <w:r w:rsidR="00C148D4">
              <w:rPr>
                <w:rFonts w:ascii="IBM Plex Sans Light" w:hAnsi="IBM Plex Sans Light"/>
                <w:sz w:val="20"/>
                <w:szCs w:val="20"/>
              </w:rPr>
              <w:t xml:space="preserve"> an autonomous system capable of translating natural language into a set of questions/queries (where each question is a function of the target data source containing the information desired</w:t>
            </w:r>
            <w:r w:rsidR="003262F2">
              <w:rPr>
                <w:rFonts w:ascii="IBM Plex Sans Light" w:hAnsi="IBM Plex Sans Light"/>
                <w:sz w:val="20"/>
                <w:szCs w:val="20"/>
              </w:rPr>
              <w:t>) performed against the target data source(s).</w:t>
            </w:r>
          </w:p>
          <w:p w14:paraId="4AA0A8BE" w14:textId="77777777" w:rsidR="003262F2" w:rsidRDefault="003262F2" w:rsidP="005659CA">
            <w:pPr>
              <w:rPr>
                <w:rFonts w:ascii="IBM Plex Sans Light" w:hAnsi="IBM Plex Sans Light"/>
                <w:sz w:val="20"/>
                <w:szCs w:val="20"/>
              </w:rPr>
            </w:pPr>
          </w:p>
          <w:p w14:paraId="2A4042A9" w14:textId="2DD2B802" w:rsidR="003262F2" w:rsidRDefault="003262F2" w:rsidP="005659CA">
            <w:pPr>
              <w:rPr>
                <w:rFonts w:ascii="IBM Plex Sans Light" w:hAnsi="IBM Plex Sans Light"/>
                <w:sz w:val="20"/>
                <w:szCs w:val="20"/>
              </w:rPr>
            </w:pPr>
            <w:r>
              <w:rPr>
                <w:rFonts w:ascii="IBM Plex Sans Light" w:hAnsi="IBM Plex Sans Light"/>
                <w:sz w:val="20"/>
                <w:szCs w:val="20"/>
              </w:rPr>
              <w:t>This will ensure new joiners can hit the ground running in the shortest time possible whilst reducing the cognitive load on existing reps.</w:t>
            </w:r>
          </w:p>
          <w:p w14:paraId="48D8E618" w14:textId="77777777" w:rsidR="004003F6" w:rsidRDefault="004003F6" w:rsidP="005659CA">
            <w:pPr>
              <w:rPr>
                <w:rFonts w:ascii="IBM Plex Sans Light" w:hAnsi="IBM Plex Sans Light"/>
                <w:sz w:val="20"/>
                <w:szCs w:val="20"/>
              </w:rPr>
            </w:pPr>
          </w:p>
          <w:p w14:paraId="44000282" w14:textId="77777777" w:rsidR="004003F6" w:rsidRPr="00F11FCE" w:rsidRDefault="004003F6" w:rsidP="005659CA">
            <w:pPr>
              <w:rPr>
                <w:rFonts w:ascii="IBM Plex Sans Light" w:hAnsi="IBM Plex Sans Light"/>
                <w:sz w:val="20"/>
                <w:szCs w:val="20"/>
              </w:rPr>
            </w:pPr>
          </w:p>
        </w:tc>
      </w:tr>
      <w:tr w:rsidR="004003F6" w:rsidRPr="00F11FCE" w14:paraId="2A3A1BAB" w14:textId="77777777" w:rsidTr="005659CA">
        <w:tc>
          <w:tcPr>
            <w:tcW w:w="9016" w:type="dxa"/>
            <w:gridSpan w:val="3"/>
          </w:tcPr>
          <w:p w14:paraId="2316514F" w14:textId="279BE7CB" w:rsidR="004003F6" w:rsidRPr="00F11FCE" w:rsidRDefault="004003F6" w:rsidP="005659CA">
            <w:pPr>
              <w:rPr>
                <w:rFonts w:ascii="IBM Plex Sans Light" w:hAnsi="IBM Plex Sans Light"/>
                <w:sz w:val="20"/>
                <w:szCs w:val="20"/>
              </w:rPr>
            </w:pPr>
            <w:r>
              <w:rPr>
                <w:rFonts w:ascii="IBM Plex Sans Light" w:hAnsi="IBM Plex Sans Light"/>
                <w:sz w:val="20"/>
                <w:szCs w:val="20"/>
              </w:rPr>
              <w:lastRenderedPageBreak/>
              <w:t>Challenges/hopes of each persona</w:t>
            </w:r>
          </w:p>
        </w:tc>
      </w:tr>
      <w:tr w:rsidR="004003F6" w:rsidRPr="00F11FCE" w14:paraId="4A4A4CA6" w14:textId="77777777" w:rsidTr="005659CA">
        <w:tc>
          <w:tcPr>
            <w:tcW w:w="421" w:type="dxa"/>
          </w:tcPr>
          <w:p w14:paraId="12442C0A" w14:textId="77777777" w:rsidR="004003F6" w:rsidRPr="00F11FCE" w:rsidRDefault="004003F6" w:rsidP="005659CA">
            <w:pPr>
              <w:rPr>
                <w:rFonts w:ascii="IBM Plex Sans Light" w:hAnsi="IBM Plex Sans Light"/>
                <w:sz w:val="20"/>
                <w:szCs w:val="20"/>
              </w:rPr>
            </w:pPr>
            <w:r>
              <w:rPr>
                <w:rFonts w:ascii="IBM Plex Sans Light" w:hAnsi="IBM Plex Sans Light"/>
                <w:sz w:val="20"/>
                <w:szCs w:val="20"/>
              </w:rPr>
              <w:sym w:font="Symbol" w:char="F0B7"/>
            </w:r>
          </w:p>
        </w:tc>
        <w:tc>
          <w:tcPr>
            <w:tcW w:w="2835" w:type="dxa"/>
          </w:tcPr>
          <w:p w14:paraId="04A6A579" w14:textId="77777777" w:rsidR="004003F6" w:rsidRDefault="004003F6" w:rsidP="005659CA">
            <w:pPr>
              <w:rPr>
                <w:rFonts w:ascii="IBM Plex Sans Light" w:hAnsi="IBM Plex Sans Light"/>
                <w:sz w:val="20"/>
                <w:szCs w:val="20"/>
              </w:rPr>
            </w:pPr>
            <w:r>
              <w:rPr>
                <w:rFonts w:ascii="IBM Plex Sans Light" w:hAnsi="IBM Plex Sans Light"/>
                <w:sz w:val="20"/>
                <w:szCs w:val="20"/>
              </w:rPr>
              <w:t>Persona A</w:t>
            </w:r>
          </w:p>
          <w:p w14:paraId="53C2548C" w14:textId="77777777" w:rsidR="00422421" w:rsidRDefault="00422421" w:rsidP="005659CA">
            <w:pPr>
              <w:rPr>
                <w:rFonts w:ascii="IBM Plex Sans Light" w:hAnsi="IBM Plex Sans Light"/>
                <w:sz w:val="20"/>
                <w:szCs w:val="20"/>
              </w:rPr>
            </w:pPr>
          </w:p>
          <w:p w14:paraId="5C5A48F5" w14:textId="38ACC41A" w:rsidR="00422421" w:rsidRPr="00F11FCE" w:rsidRDefault="00422421" w:rsidP="005659CA">
            <w:pPr>
              <w:rPr>
                <w:rFonts w:ascii="IBM Plex Sans Light" w:hAnsi="IBM Plex Sans Light"/>
                <w:sz w:val="20"/>
                <w:szCs w:val="20"/>
              </w:rPr>
            </w:pPr>
            <w:r>
              <w:rPr>
                <w:rFonts w:ascii="IBM Plex Sans Light" w:hAnsi="IBM Plex Sans Light"/>
                <w:sz w:val="20"/>
                <w:szCs w:val="20"/>
              </w:rPr>
              <w:t>New Representatives</w:t>
            </w:r>
          </w:p>
        </w:tc>
        <w:tc>
          <w:tcPr>
            <w:tcW w:w="5760" w:type="dxa"/>
          </w:tcPr>
          <w:p w14:paraId="5F32DA79" w14:textId="5AB0E47A" w:rsidR="00F570FA" w:rsidRDefault="00F570FA" w:rsidP="005659CA">
            <w:pPr>
              <w:rPr>
                <w:rFonts w:ascii="IBM Plex Sans Light" w:hAnsi="IBM Plex Sans Light"/>
                <w:sz w:val="20"/>
                <w:szCs w:val="20"/>
              </w:rPr>
            </w:pPr>
            <w:r>
              <w:rPr>
                <w:rFonts w:ascii="IBM Plex Sans Light" w:hAnsi="IBM Plex Sans Light"/>
                <w:sz w:val="20"/>
                <w:szCs w:val="20"/>
              </w:rPr>
              <w:t>New Representatives</w:t>
            </w:r>
          </w:p>
          <w:p w14:paraId="7DF2F112" w14:textId="77777777" w:rsidR="00F570FA" w:rsidRDefault="00F570FA" w:rsidP="005659CA">
            <w:pPr>
              <w:rPr>
                <w:rFonts w:ascii="IBM Plex Sans Light" w:hAnsi="IBM Plex Sans Light"/>
                <w:sz w:val="20"/>
                <w:szCs w:val="20"/>
              </w:rPr>
            </w:pPr>
          </w:p>
          <w:p w14:paraId="537687E0" w14:textId="3B216F1A" w:rsidR="00F570FA" w:rsidRDefault="00F570FA" w:rsidP="005659CA">
            <w:pPr>
              <w:rPr>
                <w:rFonts w:ascii="IBM Plex Sans Light" w:hAnsi="IBM Plex Sans Light"/>
                <w:sz w:val="20"/>
                <w:szCs w:val="20"/>
              </w:rPr>
            </w:pPr>
            <w:r>
              <w:rPr>
                <w:rFonts w:ascii="IBM Plex Sans Light" w:hAnsi="IBM Plex Sans Light"/>
                <w:sz w:val="20"/>
                <w:szCs w:val="20"/>
              </w:rPr>
              <w:t>New reps might find the overall onboarding process a little overwhelming initially, namely due to the distributed nature of modern applications. An elevated user (typically front-line managers) would first have to grant access to said applications. Next, and in the case of Box, information pertaining to the account(s) might be found in a folder with many contributors and files within. Initially, while new joiners need not concern themselves with the finer details at such an early stage, summarising the files within the folder is a non-trivial lengthy task.</w:t>
            </w:r>
          </w:p>
          <w:p w14:paraId="6265B254" w14:textId="77777777" w:rsidR="00F570FA" w:rsidRDefault="00F570FA" w:rsidP="005659CA">
            <w:pPr>
              <w:rPr>
                <w:rFonts w:ascii="IBM Plex Sans Light" w:hAnsi="IBM Plex Sans Light"/>
                <w:sz w:val="20"/>
                <w:szCs w:val="20"/>
              </w:rPr>
            </w:pPr>
          </w:p>
          <w:p w14:paraId="60740D1F" w14:textId="1CA46984" w:rsidR="00F570FA" w:rsidRDefault="00F570FA" w:rsidP="005659CA">
            <w:pPr>
              <w:rPr>
                <w:rFonts w:ascii="IBM Plex Sans Light" w:hAnsi="IBM Plex Sans Light"/>
                <w:sz w:val="20"/>
                <w:szCs w:val="20"/>
              </w:rPr>
            </w:pPr>
            <w:r>
              <w:rPr>
                <w:rFonts w:ascii="IBM Plex Sans Light" w:hAnsi="IBM Plex Sans Light"/>
                <w:sz w:val="20"/>
                <w:szCs w:val="20"/>
              </w:rPr>
              <w:t>Having key information distilled to the end user in the shortest time possible</w:t>
            </w:r>
            <w:r w:rsidR="003E7EC5">
              <w:rPr>
                <w:rFonts w:ascii="IBM Plex Sans Light" w:hAnsi="IBM Plex Sans Light"/>
                <w:sz w:val="20"/>
                <w:szCs w:val="20"/>
              </w:rPr>
              <w:t xml:space="preserve"> is key.</w:t>
            </w:r>
            <w:r>
              <w:rPr>
                <w:rFonts w:ascii="IBM Plex Sans Light" w:hAnsi="IBM Plex Sans Light"/>
                <w:sz w:val="20"/>
                <w:szCs w:val="20"/>
              </w:rPr>
              <w:t xml:space="preserve"> </w:t>
            </w:r>
            <w:r w:rsidR="003E7EC5">
              <w:rPr>
                <w:rFonts w:ascii="IBM Plex Sans Light" w:hAnsi="IBM Plex Sans Light"/>
                <w:sz w:val="20"/>
                <w:szCs w:val="20"/>
              </w:rPr>
              <w:t>This also has the side effect of</w:t>
            </w:r>
            <w:r w:rsidR="00997FE4">
              <w:rPr>
                <w:rFonts w:ascii="IBM Plex Sans Light" w:hAnsi="IBM Plex Sans Light"/>
                <w:sz w:val="20"/>
                <w:szCs w:val="20"/>
              </w:rPr>
              <w:t xml:space="preserve"> minimis</w:t>
            </w:r>
            <w:r w:rsidR="003E7EC5">
              <w:rPr>
                <w:rFonts w:ascii="IBM Plex Sans Light" w:hAnsi="IBM Plex Sans Light"/>
                <w:sz w:val="20"/>
                <w:szCs w:val="20"/>
              </w:rPr>
              <w:t>ing</w:t>
            </w:r>
            <w:r w:rsidR="00997FE4">
              <w:rPr>
                <w:rFonts w:ascii="IBM Plex Sans Light" w:hAnsi="IBM Plex Sans Light"/>
                <w:sz w:val="20"/>
                <w:szCs w:val="20"/>
              </w:rPr>
              <w:t xml:space="preserve"> “busy waiting” times (busy waiting on access to a service, or busy waiting on an existing rep’s availability</w:t>
            </w:r>
            <w:r w:rsidR="003E7EC5">
              <w:rPr>
                <w:rFonts w:ascii="IBM Plex Sans Light" w:hAnsi="IBM Plex Sans Light"/>
                <w:sz w:val="20"/>
                <w:szCs w:val="20"/>
              </w:rPr>
              <w:t xml:space="preserve"> for either an enablement or a handover session</w:t>
            </w:r>
            <w:r w:rsidR="00997FE4">
              <w:rPr>
                <w:rFonts w:ascii="IBM Plex Sans Light" w:hAnsi="IBM Plex Sans Light"/>
                <w:sz w:val="20"/>
                <w:szCs w:val="20"/>
              </w:rPr>
              <w:t>)</w:t>
            </w:r>
          </w:p>
          <w:p w14:paraId="2EAA1D1A" w14:textId="77777777" w:rsidR="004003F6" w:rsidRDefault="004003F6" w:rsidP="005659CA">
            <w:pPr>
              <w:rPr>
                <w:rFonts w:ascii="IBM Plex Sans Light" w:hAnsi="IBM Plex Sans Light"/>
                <w:sz w:val="20"/>
                <w:szCs w:val="20"/>
              </w:rPr>
            </w:pPr>
          </w:p>
          <w:p w14:paraId="4F2B46DC" w14:textId="77777777" w:rsidR="004003F6" w:rsidRPr="00F11FCE" w:rsidRDefault="004003F6" w:rsidP="005659CA">
            <w:pPr>
              <w:rPr>
                <w:rFonts w:ascii="IBM Plex Sans Light" w:hAnsi="IBM Plex Sans Light"/>
                <w:sz w:val="20"/>
                <w:szCs w:val="20"/>
              </w:rPr>
            </w:pPr>
          </w:p>
        </w:tc>
      </w:tr>
      <w:tr w:rsidR="004003F6" w:rsidRPr="00F11FCE" w14:paraId="66BCC42C" w14:textId="77777777" w:rsidTr="005659CA">
        <w:tc>
          <w:tcPr>
            <w:tcW w:w="421" w:type="dxa"/>
          </w:tcPr>
          <w:p w14:paraId="1F6B5745" w14:textId="77777777" w:rsidR="004003F6" w:rsidRPr="00F11FCE" w:rsidRDefault="004003F6" w:rsidP="005659CA">
            <w:pPr>
              <w:rPr>
                <w:rFonts w:ascii="IBM Plex Sans Light" w:hAnsi="IBM Plex Sans Light"/>
                <w:sz w:val="20"/>
                <w:szCs w:val="20"/>
              </w:rPr>
            </w:pPr>
            <w:r>
              <w:rPr>
                <w:rFonts w:ascii="IBM Plex Sans Light" w:hAnsi="IBM Plex Sans Light"/>
                <w:sz w:val="20"/>
                <w:szCs w:val="20"/>
              </w:rPr>
              <w:sym w:font="Symbol" w:char="F0B7"/>
            </w:r>
          </w:p>
        </w:tc>
        <w:tc>
          <w:tcPr>
            <w:tcW w:w="2835" w:type="dxa"/>
          </w:tcPr>
          <w:p w14:paraId="31773082" w14:textId="77777777" w:rsidR="004003F6" w:rsidRDefault="004003F6" w:rsidP="005659CA">
            <w:pPr>
              <w:rPr>
                <w:rFonts w:ascii="IBM Plex Sans Light" w:hAnsi="IBM Plex Sans Light"/>
                <w:sz w:val="20"/>
                <w:szCs w:val="20"/>
              </w:rPr>
            </w:pPr>
            <w:r>
              <w:rPr>
                <w:rFonts w:ascii="IBM Plex Sans Light" w:hAnsi="IBM Plex Sans Light"/>
                <w:sz w:val="20"/>
                <w:szCs w:val="20"/>
              </w:rPr>
              <w:t>Persona B</w:t>
            </w:r>
          </w:p>
          <w:p w14:paraId="6565C662" w14:textId="77777777" w:rsidR="00422421" w:rsidRDefault="00422421" w:rsidP="005659CA">
            <w:pPr>
              <w:rPr>
                <w:rFonts w:ascii="IBM Plex Sans Light" w:hAnsi="IBM Plex Sans Light"/>
                <w:sz w:val="20"/>
                <w:szCs w:val="20"/>
              </w:rPr>
            </w:pPr>
          </w:p>
          <w:p w14:paraId="73FFB92C" w14:textId="6663E1EA" w:rsidR="00422421" w:rsidRPr="00F11FCE" w:rsidRDefault="00422421" w:rsidP="005659CA">
            <w:pPr>
              <w:rPr>
                <w:rFonts w:ascii="IBM Plex Sans Light" w:hAnsi="IBM Plex Sans Light"/>
                <w:sz w:val="20"/>
                <w:szCs w:val="20"/>
              </w:rPr>
            </w:pPr>
            <w:r>
              <w:rPr>
                <w:rFonts w:ascii="IBM Plex Sans Light" w:hAnsi="IBM Plex Sans Light"/>
                <w:sz w:val="20"/>
                <w:szCs w:val="20"/>
              </w:rPr>
              <w:t>Existing Representatives</w:t>
            </w:r>
          </w:p>
        </w:tc>
        <w:tc>
          <w:tcPr>
            <w:tcW w:w="5760" w:type="dxa"/>
          </w:tcPr>
          <w:p w14:paraId="66BD3D66" w14:textId="0C351D60" w:rsidR="00B65504" w:rsidRDefault="00B65504" w:rsidP="005659CA">
            <w:pPr>
              <w:rPr>
                <w:rFonts w:ascii="IBM Plex Sans Light" w:hAnsi="IBM Plex Sans Light"/>
                <w:sz w:val="20"/>
                <w:szCs w:val="20"/>
              </w:rPr>
            </w:pPr>
            <w:r>
              <w:rPr>
                <w:rFonts w:ascii="IBM Plex Sans Light" w:hAnsi="IBM Plex Sans Light"/>
                <w:sz w:val="20"/>
                <w:szCs w:val="20"/>
              </w:rPr>
              <w:t>Existing Representatives</w:t>
            </w:r>
          </w:p>
          <w:p w14:paraId="6A8E17A1" w14:textId="77777777" w:rsidR="00B65504" w:rsidRDefault="00B65504" w:rsidP="005659CA">
            <w:pPr>
              <w:rPr>
                <w:rFonts w:ascii="IBM Plex Sans Light" w:hAnsi="IBM Plex Sans Light"/>
                <w:sz w:val="20"/>
                <w:szCs w:val="20"/>
              </w:rPr>
            </w:pPr>
          </w:p>
          <w:p w14:paraId="3784212E" w14:textId="519E97F7" w:rsidR="00B65504" w:rsidRPr="005B69CB" w:rsidRDefault="00B65504" w:rsidP="005659CA">
            <w:pPr>
              <w:rPr>
                <w:rFonts w:ascii="IBM Plex Sans Light" w:hAnsi="IBM Plex Sans Light"/>
                <w:i/>
                <w:iCs/>
                <w:sz w:val="20"/>
                <w:szCs w:val="20"/>
              </w:rPr>
            </w:pPr>
            <w:r w:rsidRPr="005B69CB">
              <w:rPr>
                <w:rFonts w:ascii="IBM Plex Sans Light" w:hAnsi="IBM Plex Sans Light"/>
                <w:i/>
                <w:iCs/>
                <w:sz w:val="20"/>
                <w:szCs w:val="20"/>
              </w:rPr>
              <w:t xml:space="preserve">(This </w:t>
            </w:r>
            <w:r w:rsidR="005B69CB" w:rsidRPr="005B69CB">
              <w:rPr>
                <w:rFonts w:ascii="IBM Plex Sans Light" w:hAnsi="IBM Plex Sans Light"/>
                <w:i/>
                <w:iCs/>
                <w:sz w:val="20"/>
                <w:szCs w:val="20"/>
              </w:rPr>
              <w:t>solution</w:t>
            </w:r>
            <w:r w:rsidRPr="005B69CB">
              <w:rPr>
                <w:rFonts w:ascii="IBM Plex Sans Light" w:hAnsi="IBM Plex Sans Light"/>
                <w:i/>
                <w:iCs/>
                <w:sz w:val="20"/>
                <w:szCs w:val="20"/>
              </w:rPr>
              <w:t xml:space="preserve"> is not suggesting the eliminat</w:t>
            </w:r>
            <w:r w:rsidR="005B69CB" w:rsidRPr="005B69CB">
              <w:rPr>
                <w:rFonts w:ascii="IBM Plex Sans Light" w:hAnsi="IBM Plex Sans Light"/>
                <w:i/>
                <w:iCs/>
                <w:sz w:val="20"/>
                <w:szCs w:val="20"/>
              </w:rPr>
              <w:t>ion of handovers and/or enablement sessions)</w:t>
            </w:r>
          </w:p>
          <w:p w14:paraId="7E8E4CA1" w14:textId="77777777" w:rsidR="00B65504" w:rsidRDefault="00B65504" w:rsidP="005659CA">
            <w:pPr>
              <w:rPr>
                <w:rFonts w:ascii="IBM Plex Sans Light" w:hAnsi="IBM Plex Sans Light"/>
                <w:sz w:val="20"/>
                <w:szCs w:val="20"/>
              </w:rPr>
            </w:pPr>
          </w:p>
          <w:p w14:paraId="4DC78031" w14:textId="7439395D" w:rsidR="005B69CB" w:rsidRDefault="00B65504" w:rsidP="005659CA">
            <w:pPr>
              <w:rPr>
                <w:rFonts w:ascii="IBM Plex Sans Light" w:hAnsi="IBM Plex Sans Light"/>
                <w:sz w:val="20"/>
                <w:szCs w:val="20"/>
              </w:rPr>
            </w:pPr>
            <w:r>
              <w:rPr>
                <w:rFonts w:ascii="IBM Plex Sans Light" w:hAnsi="IBM Plex Sans Light"/>
                <w:sz w:val="20"/>
                <w:szCs w:val="20"/>
              </w:rPr>
              <w:t>On the contrary, handovers and enablement sessions are of utmost importance and are here to stay.</w:t>
            </w:r>
            <w:r w:rsidR="005B69CB">
              <w:rPr>
                <w:rFonts w:ascii="IBM Plex Sans Light" w:hAnsi="IBM Plex Sans Light"/>
                <w:sz w:val="20"/>
                <w:szCs w:val="20"/>
              </w:rPr>
              <w:t xml:space="preserve"> That said, there exists scope for perhaps decreasing the time allocated to said handovers assuming our new joiner (Persona A) already has access to the required information and has, through the proposed tooling, managed to make sense of the information.</w:t>
            </w:r>
          </w:p>
          <w:p w14:paraId="4E62D58A" w14:textId="77777777" w:rsidR="005B69CB" w:rsidRDefault="005B69CB" w:rsidP="005659CA">
            <w:pPr>
              <w:rPr>
                <w:rFonts w:ascii="IBM Plex Sans Light" w:hAnsi="IBM Plex Sans Light"/>
                <w:sz w:val="20"/>
                <w:szCs w:val="20"/>
              </w:rPr>
            </w:pPr>
          </w:p>
          <w:p w14:paraId="17990250" w14:textId="33858B49" w:rsidR="00B65504" w:rsidRDefault="005B69CB" w:rsidP="005659CA">
            <w:pPr>
              <w:rPr>
                <w:rFonts w:ascii="IBM Plex Sans Light" w:hAnsi="IBM Plex Sans Light"/>
                <w:sz w:val="20"/>
                <w:szCs w:val="20"/>
              </w:rPr>
            </w:pPr>
            <w:r>
              <w:rPr>
                <w:rFonts w:ascii="IBM Plex Sans Light" w:hAnsi="IBM Plex Sans Light"/>
                <w:sz w:val="20"/>
                <w:szCs w:val="20"/>
              </w:rPr>
              <w:t xml:space="preserve">This will allow </w:t>
            </w:r>
            <w:r w:rsidR="00B65504">
              <w:rPr>
                <w:rFonts w:ascii="IBM Plex Sans Light" w:hAnsi="IBM Plex Sans Light"/>
                <w:sz w:val="20"/>
                <w:szCs w:val="20"/>
              </w:rPr>
              <w:t xml:space="preserve">our persona to </w:t>
            </w:r>
            <w:r>
              <w:rPr>
                <w:rFonts w:ascii="IBM Plex Sans Light" w:hAnsi="IBM Plex Sans Light"/>
                <w:sz w:val="20"/>
                <w:szCs w:val="20"/>
              </w:rPr>
              <w:t>allocate more time</w:t>
            </w:r>
            <w:r w:rsidR="00B65504">
              <w:rPr>
                <w:rFonts w:ascii="IBM Plex Sans Light" w:hAnsi="IBM Plex Sans Light"/>
                <w:sz w:val="20"/>
                <w:szCs w:val="20"/>
              </w:rPr>
              <w:t xml:space="preserve"> on other, perhaps more pressing </w:t>
            </w:r>
            <w:r>
              <w:rPr>
                <w:rFonts w:ascii="IBM Plex Sans Light" w:hAnsi="IBM Plex Sans Light"/>
                <w:sz w:val="20"/>
                <w:szCs w:val="20"/>
              </w:rPr>
              <w:t>immediate tasks</w:t>
            </w:r>
            <w:r w:rsidR="00B65504">
              <w:rPr>
                <w:rFonts w:ascii="IBM Plex Sans Light" w:hAnsi="IBM Plex Sans Light"/>
                <w:sz w:val="20"/>
                <w:szCs w:val="20"/>
              </w:rPr>
              <w:t>.</w:t>
            </w:r>
          </w:p>
          <w:p w14:paraId="31B5E095" w14:textId="77777777" w:rsidR="00B65504" w:rsidRDefault="00B65504" w:rsidP="005659CA">
            <w:pPr>
              <w:rPr>
                <w:rFonts w:ascii="IBM Plex Sans Light" w:hAnsi="IBM Plex Sans Light"/>
                <w:sz w:val="20"/>
                <w:szCs w:val="20"/>
              </w:rPr>
            </w:pPr>
          </w:p>
          <w:p w14:paraId="3C8A855D" w14:textId="77777777" w:rsidR="004003F6" w:rsidRDefault="004003F6" w:rsidP="005659CA">
            <w:pPr>
              <w:rPr>
                <w:rFonts w:ascii="IBM Plex Sans Light" w:hAnsi="IBM Plex Sans Light"/>
                <w:sz w:val="20"/>
                <w:szCs w:val="20"/>
              </w:rPr>
            </w:pPr>
          </w:p>
          <w:p w14:paraId="292B2471" w14:textId="77777777" w:rsidR="004003F6" w:rsidRDefault="004003F6" w:rsidP="005659CA">
            <w:pPr>
              <w:rPr>
                <w:rFonts w:ascii="IBM Plex Sans Light" w:hAnsi="IBM Plex Sans Light"/>
                <w:sz w:val="20"/>
                <w:szCs w:val="20"/>
              </w:rPr>
            </w:pPr>
          </w:p>
          <w:p w14:paraId="7721CCDA" w14:textId="77777777" w:rsidR="004003F6" w:rsidRPr="00F11FCE" w:rsidRDefault="004003F6" w:rsidP="005659CA">
            <w:pPr>
              <w:rPr>
                <w:rFonts w:ascii="IBM Plex Sans Light" w:hAnsi="IBM Plex Sans Light"/>
                <w:sz w:val="20"/>
                <w:szCs w:val="20"/>
              </w:rPr>
            </w:pPr>
          </w:p>
        </w:tc>
      </w:tr>
      <w:tr w:rsidR="004003F6" w:rsidRPr="00F11FCE" w14:paraId="6A46F268" w14:textId="77777777" w:rsidTr="005659CA">
        <w:tc>
          <w:tcPr>
            <w:tcW w:w="3256" w:type="dxa"/>
            <w:gridSpan w:val="2"/>
          </w:tcPr>
          <w:p w14:paraId="72BECB49" w14:textId="77777777" w:rsidR="004003F6" w:rsidRPr="00F11FCE" w:rsidRDefault="004003F6" w:rsidP="005659CA">
            <w:pPr>
              <w:rPr>
                <w:rFonts w:ascii="IBM Plex Sans Light" w:hAnsi="IBM Plex Sans Light"/>
                <w:sz w:val="20"/>
                <w:szCs w:val="20"/>
              </w:rPr>
            </w:pPr>
            <w:r>
              <w:rPr>
                <w:rFonts w:ascii="IBM Plex Sans Light" w:hAnsi="IBM Plex Sans Light"/>
                <w:sz w:val="20"/>
                <w:szCs w:val="20"/>
              </w:rPr>
              <w:lastRenderedPageBreak/>
              <w:t>As-is process (without Agentic AI)</w:t>
            </w:r>
          </w:p>
        </w:tc>
        <w:tc>
          <w:tcPr>
            <w:tcW w:w="5760" w:type="dxa"/>
          </w:tcPr>
          <w:p w14:paraId="66E557DF" w14:textId="28549E9B" w:rsidR="004003F6" w:rsidRDefault="007233E8" w:rsidP="005659CA">
            <w:pPr>
              <w:rPr>
                <w:rFonts w:ascii="IBM Plex Sans Light" w:hAnsi="IBM Plex Sans Light"/>
                <w:sz w:val="20"/>
                <w:szCs w:val="20"/>
              </w:rPr>
            </w:pPr>
            <w:r>
              <w:rPr>
                <w:rFonts w:ascii="IBM Plex Sans Light" w:hAnsi="IBM Plex Sans Light"/>
                <w:sz w:val="20"/>
                <w:szCs w:val="20"/>
              </w:rPr>
              <w:t>This was described above but here are the (typical) sequence of steps</w:t>
            </w:r>
            <w:r w:rsidR="00C549DA">
              <w:rPr>
                <w:rFonts w:ascii="IBM Plex Sans Light" w:hAnsi="IBM Plex Sans Light"/>
                <w:sz w:val="20"/>
                <w:szCs w:val="20"/>
              </w:rPr>
              <w:t xml:space="preserve"> a new sales representative encounters in the first couple of weeks:</w:t>
            </w:r>
          </w:p>
          <w:p w14:paraId="5489F484" w14:textId="77777777" w:rsidR="00C549DA" w:rsidRDefault="00C549DA" w:rsidP="005659CA">
            <w:pPr>
              <w:rPr>
                <w:rFonts w:ascii="IBM Plex Sans Light" w:hAnsi="IBM Plex Sans Light"/>
                <w:sz w:val="20"/>
                <w:szCs w:val="20"/>
              </w:rPr>
            </w:pPr>
          </w:p>
          <w:p w14:paraId="5360B5E2" w14:textId="7E5A997F" w:rsidR="00C549DA" w:rsidRDefault="00C549DA" w:rsidP="00422421">
            <w:pPr>
              <w:pStyle w:val="ListParagraph"/>
              <w:numPr>
                <w:ilvl w:val="0"/>
                <w:numId w:val="2"/>
              </w:numPr>
              <w:rPr>
                <w:rFonts w:ascii="IBM Plex Sans Light" w:hAnsi="IBM Plex Sans Light"/>
                <w:sz w:val="20"/>
                <w:szCs w:val="20"/>
              </w:rPr>
            </w:pPr>
            <w:r>
              <w:rPr>
                <w:rFonts w:ascii="IBM Plex Sans Light" w:hAnsi="IBM Plex Sans Light"/>
                <w:sz w:val="20"/>
                <w:szCs w:val="20"/>
              </w:rPr>
              <w:t>Asking (typically the assigned FLM) what system/sources should the sales representative require access to?</w:t>
            </w:r>
          </w:p>
          <w:p w14:paraId="72E1E85B" w14:textId="3AEEFDF8" w:rsidR="00C549DA" w:rsidRDefault="00C549DA" w:rsidP="00422421">
            <w:pPr>
              <w:pStyle w:val="ListParagraph"/>
              <w:numPr>
                <w:ilvl w:val="0"/>
                <w:numId w:val="2"/>
              </w:numPr>
              <w:rPr>
                <w:rFonts w:ascii="IBM Plex Sans Light" w:hAnsi="IBM Plex Sans Light"/>
                <w:sz w:val="20"/>
                <w:szCs w:val="20"/>
              </w:rPr>
            </w:pPr>
            <w:r>
              <w:rPr>
                <w:rFonts w:ascii="IBM Plex Sans Light" w:hAnsi="IBM Plex Sans Light"/>
                <w:sz w:val="20"/>
                <w:szCs w:val="20"/>
              </w:rPr>
              <w:t>Request access to said systems/data sources</w:t>
            </w:r>
          </w:p>
          <w:p w14:paraId="635511D2" w14:textId="7D70F6CE" w:rsidR="00C549DA" w:rsidRDefault="00C549DA" w:rsidP="00422421">
            <w:pPr>
              <w:pStyle w:val="ListParagraph"/>
              <w:numPr>
                <w:ilvl w:val="0"/>
                <w:numId w:val="2"/>
              </w:numPr>
              <w:rPr>
                <w:rFonts w:ascii="IBM Plex Sans Light" w:hAnsi="IBM Plex Sans Light"/>
                <w:sz w:val="20"/>
                <w:szCs w:val="20"/>
              </w:rPr>
            </w:pPr>
            <w:r>
              <w:rPr>
                <w:rFonts w:ascii="IBM Plex Sans Light" w:hAnsi="IBM Plex Sans Light"/>
                <w:sz w:val="20"/>
                <w:szCs w:val="20"/>
              </w:rPr>
              <w:t>Wait X days/hours for access</w:t>
            </w:r>
          </w:p>
          <w:p w14:paraId="6A2B1D05" w14:textId="7F1EFC36" w:rsidR="00C549DA" w:rsidRDefault="00C549DA" w:rsidP="00422421">
            <w:pPr>
              <w:pStyle w:val="ListParagraph"/>
              <w:numPr>
                <w:ilvl w:val="0"/>
                <w:numId w:val="2"/>
              </w:numPr>
              <w:rPr>
                <w:rFonts w:ascii="IBM Plex Sans Light" w:hAnsi="IBM Plex Sans Light"/>
                <w:sz w:val="20"/>
                <w:szCs w:val="20"/>
              </w:rPr>
            </w:pPr>
            <w:r>
              <w:rPr>
                <w:rFonts w:ascii="IBM Plex Sans Light" w:hAnsi="IBM Plex Sans Light"/>
                <w:sz w:val="20"/>
                <w:szCs w:val="20"/>
              </w:rPr>
              <w:t>(Optional): While waiting for access, set some time with existing reps for handover/enablement sessions</w:t>
            </w:r>
          </w:p>
          <w:p w14:paraId="3EFDA3B1" w14:textId="3F4D95EF" w:rsidR="00C549DA" w:rsidRDefault="00C549DA" w:rsidP="00422421">
            <w:pPr>
              <w:pStyle w:val="ListParagraph"/>
              <w:numPr>
                <w:ilvl w:val="0"/>
                <w:numId w:val="2"/>
              </w:numPr>
              <w:rPr>
                <w:rFonts w:ascii="IBM Plex Sans Light" w:hAnsi="IBM Plex Sans Light"/>
                <w:sz w:val="20"/>
                <w:szCs w:val="20"/>
              </w:rPr>
            </w:pPr>
            <w:r>
              <w:rPr>
                <w:rFonts w:ascii="IBM Plex Sans Light" w:hAnsi="IBM Plex Sans Light"/>
                <w:sz w:val="20"/>
                <w:szCs w:val="20"/>
              </w:rPr>
              <w:t>Access granted to required systems</w:t>
            </w:r>
          </w:p>
          <w:p w14:paraId="5A09954B" w14:textId="07F4A498" w:rsidR="00C549DA" w:rsidRDefault="00C549DA" w:rsidP="00422421">
            <w:pPr>
              <w:pStyle w:val="ListParagraph"/>
              <w:numPr>
                <w:ilvl w:val="0"/>
                <w:numId w:val="2"/>
              </w:numPr>
              <w:rPr>
                <w:rFonts w:ascii="IBM Plex Sans Light" w:hAnsi="IBM Plex Sans Light"/>
                <w:sz w:val="20"/>
                <w:szCs w:val="20"/>
              </w:rPr>
            </w:pPr>
            <w:r>
              <w:rPr>
                <w:rFonts w:ascii="IBM Plex Sans Light" w:hAnsi="IBM Plex Sans Light"/>
                <w:sz w:val="20"/>
                <w:szCs w:val="20"/>
              </w:rPr>
              <w:t>Read, digest and summarise information made available to the new joiner (</w:t>
            </w:r>
            <w:proofErr w:type="gramStart"/>
            <w:r>
              <w:rPr>
                <w:rFonts w:ascii="IBM Plex Sans Light" w:hAnsi="IBM Plex Sans Light"/>
                <w:sz w:val="20"/>
                <w:szCs w:val="20"/>
              </w:rPr>
              <w:t>as a result of</w:t>
            </w:r>
            <w:proofErr w:type="gramEnd"/>
            <w:r>
              <w:rPr>
                <w:rFonts w:ascii="IBM Plex Sans Light" w:hAnsi="IBM Plex Sans Light"/>
                <w:sz w:val="20"/>
                <w:szCs w:val="20"/>
              </w:rPr>
              <w:t xml:space="preserve"> access granted to systems)</w:t>
            </w:r>
          </w:p>
          <w:p w14:paraId="48BD9022" w14:textId="6FCD2CF1" w:rsidR="00C549DA" w:rsidRDefault="00C549DA" w:rsidP="00422421">
            <w:pPr>
              <w:pStyle w:val="ListParagraph"/>
              <w:numPr>
                <w:ilvl w:val="0"/>
                <w:numId w:val="2"/>
              </w:numPr>
              <w:rPr>
                <w:rFonts w:ascii="IBM Plex Sans Light" w:hAnsi="IBM Plex Sans Light"/>
                <w:sz w:val="20"/>
                <w:szCs w:val="20"/>
              </w:rPr>
            </w:pPr>
            <w:r>
              <w:rPr>
                <w:rFonts w:ascii="IBM Plex Sans Light" w:hAnsi="IBM Plex Sans Light"/>
                <w:sz w:val="20"/>
                <w:szCs w:val="20"/>
              </w:rPr>
              <w:t>Set some time with existing reps to confirm new joiner’s findings from the above step</w:t>
            </w:r>
          </w:p>
          <w:p w14:paraId="24835EFF" w14:textId="3EB9FB28" w:rsidR="00422421" w:rsidRPr="00C549DA" w:rsidRDefault="00422421" w:rsidP="00422421">
            <w:pPr>
              <w:pStyle w:val="ListParagraph"/>
              <w:numPr>
                <w:ilvl w:val="0"/>
                <w:numId w:val="2"/>
              </w:numPr>
              <w:rPr>
                <w:rFonts w:ascii="IBM Plex Sans Light" w:hAnsi="IBM Plex Sans Light"/>
                <w:sz w:val="20"/>
                <w:szCs w:val="20"/>
              </w:rPr>
            </w:pPr>
            <w:r>
              <w:rPr>
                <w:rFonts w:ascii="IBM Plex Sans Light" w:hAnsi="IBM Plex Sans Light"/>
                <w:sz w:val="20"/>
                <w:szCs w:val="20"/>
              </w:rPr>
              <w:t>Hit the ground running!</w:t>
            </w:r>
          </w:p>
          <w:p w14:paraId="0768F61C" w14:textId="77777777" w:rsidR="004003F6" w:rsidRDefault="004003F6" w:rsidP="005659CA">
            <w:pPr>
              <w:rPr>
                <w:rFonts w:ascii="IBM Plex Sans Light" w:hAnsi="IBM Plex Sans Light"/>
                <w:sz w:val="20"/>
                <w:szCs w:val="20"/>
              </w:rPr>
            </w:pPr>
          </w:p>
          <w:p w14:paraId="60B63975" w14:textId="77777777" w:rsidR="004003F6" w:rsidRDefault="004003F6" w:rsidP="005659CA">
            <w:pPr>
              <w:rPr>
                <w:rFonts w:ascii="IBM Plex Sans Light" w:hAnsi="IBM Plex Sans Light"/>
                <w:sz w:val="20"/>
                <w:szCs w:val="20"/>
              </w:rPr>
            </w:pPr>
          </w:p>
          <w:p w14:paraId="49C71A91" w14:textId="0FAA9175" w:rsidR="004003F6" w:rsidRDefault="00422421" w:rsidP="005659CA">
            <w:pPr>
              <w:rPr>
                <w:rFonts w:ascii="IBM Plex Sans Light" w:hAnsi="IBM Plex Sans Light"/>
                <w:sz w:val="20"/>
                <w:szCs w:val="20"/>
              </w:rPr>
            </w:pPr>
            <w:r>
              <w:rPr>
                <w:rFonts w:ascii="IBM Plex Sans Light" w:hAnsi="IBM Plex Sans Light"/>
                <w:sz w:val="20"/>
                <w:szCs w:val="20"/>
              </w:rPr>
              <w:t xml:space="preserve">Our new system, described below, can effectively eliminate Steps 1 through to 5 above. Our Agentic AI </w:t>
            </w:r>
            <w:r w:rsidR="00886A19">
              <w:rPr>
                <w:rFonts w:ascii="IBM Plex Sans Light" w:hAnsi="IBM Plex Sans Light"/>
                <w:sz w:val="20"/>
                <w:szCs w:val="20"/>
              </w:rPr>
              <w:t>would, with minimal latency, surface the answer to the user’s query(</w:t>
            </w:r>
            <w:proofErr w:type="spellStart"/>
            <w:r w:rsidR="00886A19">
              <w:rPr>
                <w:rFonts w:ascii="IBM Plex Sans Light" w:hAnsi="IBM Plex Sans Light"/>
                <w:sz w:val="20"/>
                <w:szCs w:val="20"/>
              </w:rPr>
              <w:t>ies</w:t>
            </w:r>
            <w:proofErr w:type="spellEnd"/>
            <w:r w:rsidR="00886A19">
              <w:rPr>
                <w:rFonts w:ascii="IBM Plex Sans Light" w:hAnsi="IBM Plex Sans Light"/>
                <w:sz w:val="20"/>
                <w:szCs w:val="20"/>
              </w:rPr>
              <w:t xml:space="preserve">) to be </w:t>
            </w:r>
          </w:p>
          <w:p w14:paraId="5CEB3FB4" w14:textId="77777777" w:rsidR="00886A19" w:rsidRDefault="00886A19" w:rsidP="005659CA">
            <w:pPr>
              <w:rPr>
                <w:rFonts w:ascii="IBM Plex Sans Light" w:hAnsi="IBM Plex Sans Light"/>
                <w:sz w:val="20"/>
                <w:szCs w:val="20"/>
              </w:rPr>
            </w:pPr>
          </w:p>
          <w:p w14:paraId="0974F4CD" w14:textId="04696F34" w:rsidR="00886A19" w:rsidRDefault="00886A19" w:rsidP="005659CA">
            <w:pPr>
              <w:rPr>
                <w:rFonts w:ascii="IBM Plex Sans Light" w:hAnsi="IBM Plex Sans Light"/>
                <w:sz w:val="20"/>
                <w:szCs w:val="20"/>
              </w:rPr>
            </w:pPr>
            <w:r>
              <w:rPr>
                <w:rFonts w:ascii="IBM Plex Sans Light" w:hAnsi="IBM Plex Sans Light"/>
                <w:sz w:val="20"/>
                <w:szCs w:val="20"/>
              </w:rPr>
              <w:t xml:space="preserve">The confirmation step is crucial and should not be omitted. There is always a risk with LLM’s hallucinating and present outdated or inaccurate information. While guardrails can be implemented to minimise such occurrences, they can’t be </w:t>
            </w:r>
            <w:r w:rsidR="007127B2">
              <w:rPr>
                <w:rFonts w:ascii="IBM Plex Sans Light" w:hAnsi="IBM Plex Sans Light"/>
                <w:sz w:val="20"/>
                <w:szCs w:val="20"/>
              </w:rPr>
              <w:t>eliminated</w:t>
            </w:r>
            <w:r>
              <w:rPr>
                <w:rFonts w:ascii="IBM Plex Sans Light" w:hAnsi="IBM Plex Sans Light"/>
                <w:sz w:val="20"/>
                <w:szCs w:val="20"/>
              </w:rPr>
              <w:t>.</w:t>
            </w:r>
          </w:p>
          <w:p w14:paraId="7652F714" w14:textId="77777777" w:rsidR="004003F6" w:rsidRDefault="004003F6" w:rsidP="005659CA">
            <w:pPr>
              <w:rPr>
                <w:rFonts w:ascii="IBM Plex Sans Light" w:hAnsi="IBM Plex Sans Light"/>
                <w:sz w:val="20"/>
                <w:szCs w:val="20"/>
              </w:rPr>
            </w:pPr>
          </w:p>
          <w:p w14:paraId="67DDA244" w14:textId="77777777" w:rsidR="004003F6" w:rsidRDefault="004003F6" w:rsidP="005659CA">
            <w:pPr>
              <w:rPr>
                <w:rFonts w:ascii="IBM Plex Sans Light" w:hAnsi="IBM Plex Sans Light"/>
                <w:sz w:val="20"/>
                <w:szCs w:val="20"/>
              </w:rPr>
            </w:pPr>
          </w:p>
          <w:p w14:paraId="3CA6E90A" w14:textId="77777777" w:rsidR="004003F6" w:rsidRPr="00F11FCE" w:rsidRDefault="004003F6" w:rsidP="005659CA">
            <w:pPr>
              <w:rPr>
                <w:rFonts w:ascii="IBM Plex Sans Light" w:hAnsi="IBM Plex Sans Light"/>
                <w:sz w:val="20"/>
                <w:szCs w:val="20"/>
              </w:rPr>
            </w:pPr>
          </w:p>
        </w:tc>
      </w:tr>
      <w:tr w:rsidR="004003F6" w:rsidRPr="00F11FCE" w14:paraId="1070167C" w14:textId="77777777" w:rsidTr="005659CA">
        <w:tc>
          <w:tcPr>
            <w:tcW w:w="9016" w:type="dxa"/>
            <w:gridSpan w:val="3"/>
            <w:tcBorders>
              <w:bottom w:val="single" w:sz="4" w:space="0" w:color="auto"/>
            </w:tcBorders>
          </w:tcPr>
          <w:p w14:paraId="3ECE6E73" w14:textId="77777777" w:rsidR="004003F6" w:rsidRPr="00F11FCE" w:rsidRDefault="004003F6" w:rsidP="005659CA">
            <w:pPr>
              <w:rPr>
                <w:rFonts w:ascii="IBM Plex Sans Light" w:hAnsi="IBM Plex Sans Light"/>
                <w:sz w:val="20"/>
                <w:szCs w:val="20"/>
              </w:rPr>
            </w:pPr>
          </w:p>
        </w:tc>
      </w:tr>
    </w:tbl>
    <w:p w14:paraId="2D254C13" w14:textId="0AE45317" w:rsidR="004003F6" w:rsidRDefault="004003F6"/>
    <w:p w14:paraId="62EEA3B6" w14:textId="77777777" w:rsidR="004003F6" w:rsidRDefault="004003F6">
      <w:r>
        <w:br w:type="page"/>
      </w:r>
    </w:p>
    <w:tbl>
      <w:tblPr>
        <w:tblStyle w:val="TableGrid"/>
        <w:tblW w:w="0" w:type="auto"/>
        <w:tblLook w:val="04A0" w:firstRow="1" w:lastRow="0" w:firstColumn="1" w:lastColumn="0" w:noHBand="0" w:noVBand="1"/>
      </w:tblPr>
      <w:tblGrid>
        <w:gridCol w:w="352"/>
        <w:gridCol w:w="1548"/>
        <w:gridCol w:w="7116"/>
      </w:tblGrid>
      <w:tr w:rsidR="004003F6" w:rsidRPr="004003F6" w14:paraId="1FB59554" w14:textId="77777777" w:rsidTr="005659CA">
        <w:tc>
          <w:tcPr>
            <w:tcW w:w="9016" w:type="dxa"/>
            <w:gridSpan w:val="3"/>
            <w:shd w:val="clear" w:color="auto" w:fill="DAE9F7" w:themeFill="text2" w:themeFillTint="1A"/>
          </w:tcPr>
          <w:p w14:paraId="37284A42" w14:textId="74545931" w:rsidR="004003F6" w:rsidRPr="004003F6" w:rsidRDefault="004003F6" w:rsidP="005659CA">
            <w:pPr>
              <w:rPr>
                <w:rFonts w:ascii="IBM Plex Sans Light" w:hAnsi="IBM Plex Sans Light"/>
                <w:b/>
                <w:bCs/>
                <w:sz w:val="20"/>
                <w:szCs w:val="20"/>
              </w:rPr>
            </w:pPr>
            <w:r w:rsidRPr="004003F6">
              <w:rPr>
                <w:rFonts w:ascii="IBM Plex Sans Light" w:hAnsi="IBM Plex Sans Light"/>
                <w:b/>
                <w:bCs/>
                <w:sz w:val="20"/>
                <w:szCs w:val="20"/>
              </w:rPr>
              <w:lastRenderedPageBreak/>
              <w:t xml:space="preserve">Solution </w:t>
            </w:r>
            <w:r>
              <w:rPr>
                <w:rFonts w:ascii="IBM Plex Sans Light" w:hAnsi="IBM Plex Sans Light"/>
                <w:b/>
                <w:bCs/>
                <w:sz w:val="20"/>
                <w:szCs w:val="20"/>
              </w:rPr>
              <w:t>Section</w:t>
            </w:r>
          </w:p>
        </w:tc>
      </w:tr>
      <w:tr w:rsidR="00271C39" w:rsidRPr="00F11FCE" w14:paraId="111BC64C" w14:textId="77777777" w:rsidTr="005659CA">
        <w:tc>
          <w:tcPr>
            <w:tcW w:w="3256" w:type="dxa"/>
            <w:gridSpan w:val="2"/>
          </w:tcPr>
          <w:p w14:paraId="142E78B5" w14:textId="77777777" w:rsidR="004003F6" w:rsidRPr="00F11FCE" w:rsidRDefault="004003F6" w:rsidP="005659CA">
            <w:pPr>
              <w:rPr>
                <w:rFonts w:ascii="IBM Plex Sans Light" w:hAnsi="IBM Plex Sans Light"/>
                <w:sz w:val="20"/>
                <w:szCs w:val="20"/>
              </w:rPr>
            </w:pPr>
            <w:r>
              <w:rPr>
                <w:rFonts w:ascii="IBM Plex Sans Light" w:hAnsi="IBM Plex Sans Light"/>
                <w:sz w:val="20"/>
                <w:szCs w:val="20"/>
              </w:rPr>
              <w:t>To-be process (with Agentic AI)</w:t>
            </w:r>
          </w:p>
        </w:tc>
        <w:tc>
          <w:tcPr>
            <w:tcW w:w="5760" w:type="dxa"/>
          </w:tcPr>
          <w:p w14:paraId="5E804477" w14:textId="477782CB" w:rsidR="007127B2" w:rsidRDefault="001769F9" w:rsidP="001769F9">
            <w:pPr>
              <w:rPr>
                <w:rFonts w:ascii="IBM Plex Sans Light" w:hAnsi="IBM Plex Sans Light"/>
                <w:sz w:val="20"/>
                <w:szCs w:val="20"/>
              </w:rPr>
            </w:pPr>
            <w:r>
              <w:rPr>
                <w:rFonts w:ascii="IBM Plex Sans Light" w:hAnsi="IBM Plex Sans Light"/>
                <w:sz w:val="20"/>
                <w:szCs w:val="20"/>
              </w:rPr>
              <w:t>Mr Anderson, our virtual assistant,</w:t>
            </w:r>
            <w:r w:rsidRPr="001769F9">
              <w:rPr>
                <w:rFonts w:ascii="IBM Plex Sans Light" w:hAnsi="IBM Plex Sans Light"/>
                <w:sz w:val="20"/>
                <w:szCs w:val="20"/>
              </w:rPr>
              <w:t xml:space="preserve"> shall function as an AI-powered virtual assistant</w:t>
            </w:r>
            <w:r>
              <w:rPr>
                <w:rFonts w:ascii="IBM Plex Sans Light" w:hAnsi="IBM Plex Sans Light"/>
                <w:sz w:val="20"/>
                <w:szCs w:val="20"/>
              </w:rPr>
              <w:t xml:space="preserve"> </w:t>
            </w:r>
            <w:r w:rsidRPr="001769F9">
              <w:rPr>
                <w:rFonts w:ascii="IBM Plex Sans Light" w:hAnsi="IBM Plex Sans Light"/>
                <w:sz w:val="20"/>
                <w:szCs w:val="20"/>
              </w:rPr>
              <w:t xml:space="preserve">that </w:t>
            </w:r>
            <w:r>
              <w:rPr>
                <w:rFonts w:ascii="IBM Plex Sans Light" w:hAnsi="IBM Plex Sans Light"/>
                <w:sz w:val="20"/>
                <w:szCs w:val="20"/>
              </w:rPr>
              <w:t xml:space="preserve">shall act as a single, intelligent, </w:t>
            </w:r>
            <w:r w:rsidR="007127B2">
              <w:rPr>
                <w:rFonts w:ascii="IBM Plex Sans Light" w:hAnsi="IBM Plex Sans Light"/>
                <w:sz w:val="20"/>
                <w:szCs w:val="20"/>
              </w:rPr>
              <w:t>interface between the various data sources for new joiners to the company. Behind the scenes, it leverages the agentic AI framework to query orchestration and forward (transformed) queries to legacy tools to complete requests.</w:t>
            </w:r>
          </w:p>
          <w:p w14:paraId="27D2D047" w14:textId="77777777" w:rsidR="007127B2" w:rsidRDefault="007127B2" w:rsidP="001769F9">
            <w:pPr>
              <w:rPr>
                <w:rFonts w:ascii="IBM Plex Sans Light" w:hAnsi="IBM Plex Sans Light"/>
                <w:sz w:val="20"/>
                <w:szCs w:val="20"/>
              </w:rPr>
            </w:pPr>
          </w:p>
          <w:p w14:paraId="036E3E46" w14:textId="77777777" w:rsidR="007127B2" w:rsidRDefault="007127B2" w:rsidP="001769F9">
            <w:pPr>
              <w:rPr>
                <w:rFonts w:ascii="IBM Plex Sans Light" w:hAnsi="IBM Plex Sans Light"/>
                <w:sz w:val="20"/>
                <w:szCs w:val="20"/>
              </w:rPr>
            </w:pPr>
          </w:p>
          <w:p w14:paraId="38CE31F0" w14:textId="6F3A40C9" w:rsidR="004003F6" w:rsidRDefault="007127B2" w:rsidP="005659CA">
            <w:pPr>
              <w:rPr>
                <w:rFonts w:ascii="IBM Plex Sans Light" w:hAnsi="IBM Plex Sans Light"/>
                <w:sz w:val="20"/>
                <w:szCs w:val="20"/>
              </w:rPr>
            </w:pPr>
            <w:r>
              <w:rPr>
                <w:rFonts w:ascii="IBM Plex Sans Light" w:hAnsi="IBM Plex Sans Light"/>
                <w:sz w:val="20"/>
                <w:szCs w:val="20"/>
              </w:rPr>
              <w:t xml:space="preserve">It is also employee “aware”, in the sense it </w:t>
            </w:r>
            <w:proofErr w:type="gramStart"/>
            <w:r>
              <w:rPr>
                <w:rFonts w:ascii="IBM Plex Sans Light" w:hAnsi="IBM Plex Sans Light"/>
                <w:sz w:val="20"/>
                <w:szCs w:val="20"/>
              </w:rPr>
              <w:t>is able to</w:t>
            </w:r>
            <w:proofErr w:type="gramEnd"/>
            <w:r>
              <w:rPr>
                <w:rFonts w:ascii="IBM Plex Sans Light" w:hAnsi="IBM Plex Sans Light"/>
                <w:sz w:val="20"/>
                <w:szCs w:val="20"/>
              </w:rPr>
              <w:t xml:space="preserve"> able to schedule Calendar meetings on behalf of the new joiner, through its integration with Microsoft Graph.</w:t>
            </w:r>
          </w:p>
          <w:p w14:paraId="38379CD6" w14:textId="77777777" w:rsidR="00400685" w:rsidRDefault="00400685" w:rsidP="005659CA">
            <w:pPr>
              <w:rPr>
                <w:rFonts w:ascii="IBM Plex Sans Light" w:hAnsi="IBM Plex Sans Light"/>
                <w:sz w:val="20"/>
                <w:szCs w:val="20"/>
              </w:rPr>
            </w:pPr>
          </w:p>
          <w:p w14:paraId="1236A596" w14:textId="162BE232" w:rsidR="00400685" w:rsidRDefault="00400685" w:rsidP="005659CA">
            <w:pPr>
              <w:rPr>
                <w:rFonts w:ascii="IBM Plex Sans Light" w:hAnsi="IBM Plex Sans Light"/>
                <w:sz w:val="20"/>
                <w:szCs w:val="20"/>
              </w:rPr>
            </w:pPr>
            <w:r>
              <w:rPr>
                <w:rFonts w:ascii="IBM Plex Sans Light" w:hAnsi="IBM Plex Sans Light"/>
                <w:sz w:val="20"/>
                <w:szCs w:val="20"/>
              </w:rPr>
              <w:t>Steps 1 through to 5 described above can be eliminated. Step 6 can be shortened, while step 7 can be automated.</w:t>
            </w:r>
          </w:p>
          <w:p w14:paraId="792559BD" w14:textId="77777777" w:rsidR="00400685" w:rsidRDefault="00400685" w:rsidP="005659CA">
            <w:pPr>
              <w:rPr>
                <w:rFonts w:ascii="IBM Plex Sans Light" w:hAnsi="IBM Plex Sans Light"/>
                <w:sz w:val="20"/>
                <w:szCs w:val="20"/>
              </w:rPr>
            </w:pPr>
          </w:p>
          <w:p w14:paraId="331F9E23" w14:textId="5E075CE9" w:rsidR="00400685" w:rsidRDefault="00400685" w:rsidP="005659CA">
            <w:pPr>
              <w:rPr>
                <w:rFonts w:ascii="IBM Plex Sans Light" w:hAnsi="IBM Plex Sans Light"/>
                <w:sz w:val="20"/>
                <w:szCs w:val="20"/>
              </w:rPr>
            </w:pPr>
            <w:r>
              <w:rPr>
                <w:rFonts w:ascii="IBM Plex Sans Light" w:hAnsi="IBM Plex Sans Light"/>
                <w:sz w:val="20"/>
                <w:szCs w:val="20"/>
              </w:rPr>
              <w:t>Truly a win-win situation for all!</w:t>
            </w:r>
          </w:p>
          <w:p w14:paraId="7E5EB1A0" w14:textId="77777777" w:rsidR="00AD520D" w:rsidRDefault="00AD520D" w:rsidP="005659CA">
            <w:pPr>
              <w:rPr>
                <w:rFonts w:ascii="IBM Plex Sans Light" w:hAnsi="IBM Plex Sans Light"/>
                <w:sz w:val="20"/>
                <w:szCs w:val="20"/>
              </w:rPr>
            </w:pPr>
          </w:p>
          <w:p w14:paraId="230C45E3" w14:textId="1D358159" w:rsidR="00AD520D" w:rsidRPr="00AD520D" w:rsidRDefault="00AD520D" w:rsidP="005659CA">
            <w:pPr>
              <w:rPr>
                <w:rFonts w:ascii="IBM Plex Sans Light" w:hAnsi="IBM Plex Sans Light"/>
                <w:b/>
                <w:bCs/>
                <w:sz w:val="20"/>
                <w:szCs w:val="20"/>
              </w:rPr>
            </w:pPr>
            <w:r w:rsidRPr="00AD520D">
              <w:rPr>
                <w:rFonts w:ascii="IBM Plex Sans Light" w:hAnsi="IBM Plex Sans Light"/>
                <w:b/>
                <w:bCs/>
                <w:sz w:val="20"/>
                <w:szCs w:val="20"/>
              </w:rPr>
              <w:t>Key Features &amp; Functionalities</w:t>
            </w:r>
          </w:p>
          <w:p w14:paraId="7E956C1C" w14:textId="77777777" w:rsidR="00AD520D" w:rsidRDefault="00AD520D" w:rsidP="005659CA">
            <w:pPr>
              <w:rPr>
                <w:rFonts w:ascii="IBM Plex Sans Light" w:hAnsi="IBM Plex Sans Light"/>
                <w:sz w:val="20"/>
                <w:szCs w:val="20"/>
              </w:rPr>
            </w:pPr>
          </w:p>
          <w:p w14:paraId="45D9EA5D" w14:textId="77777777" w:rsidR="00AD520D" w:rsidRDefault="00AD520D" w:rsidP="005659CA">
            <w:pPr>
              <w:rPr>
                <w:rFonts w:ascii="IBM Plex Sans Light" w:hAnsi="IBM Plex Sans Light"/>
                <w:sz w:val="20"/>
                <w:szCs w:val="20"/>
              </w:rPr>
            </w:pPr>
          </w:p>
          <w:p w14:paraId="3D4E6DC6" w14:textId="239E1DD7" w:rsidR="00AD520D" w:rsidRDefault="00AD520D" w:rsidP="00AD520D">
            <w:pPr>
              <w:pStyle w:val="ListParagraph"/>
              <w:numPr>
                <w:ilvl w:val="0"/>
                <w:numId w:val="3"/>
              </w:numPr>
              <w:rPr>
                <w:rFonts w:ascii="IBM Plex Sans Light" w:hAnsi="IBM Plex Sans Light"/>
                <w:sz w:val="20"/>
                <w:szCs w:val="20"/>
              </w:rPr>
            </w:pPr>
            <w:r w:rsidRPr="00AD520D">
              <w:rPr>
                <w:rFonts w:ascii="IBM Plex Sans Light" w:hAnsi="IBM Plex Sans Light"/>
                <w:b/>
                <w:bCs/>
                <w:sz w:val="20"/>
                <w:szCs w:val="20"/>
              </w:rPr>
              <w:t>S</w:t>
            </w:r>
            <w:r w:rsidRPr="00AD520D">
              <w:rPr>
                <w:rFonts w:ascii="IBM Plex Sans Light" w:hAnsi="IBM Plex Sans Light"/>
                <w:b/>
                <w:bCs/>
                <w:sz w:val="20"/>
                <w:szCs w:val="20"/>
              </w:rPr>
              <w:t>elf-service</w:t>
            </w:r>
            <w:r w:rsidRPr="00AD520D">
              <w:rPr>
                <w:rFonts w:ascii="IBM Plex Sans Light" w:hAnsi="IBM Plex Sans Light"/>
                <w:sz w:val="20"/>
                <w:szCs w:val="20"/>
              </w:rPr>
              <w:t xml:space="preserve"> experience</w:t>
            </w:r>
          </w:p>
          <w:p w14:paraId="5CF54085" w14:textId="77777777" w:rsidR="00AD520D" w:rsidRPr="00AD520D" w:rsidRDefault="00AD520D" w:rsidP="00AD520D">
            <w:pPr>
              <w:pStyle w:val="ListParagraph"/>
              <w:numPr>
                <w:ilvl w:val="0"/>
                <w:numId w:val="3"/>
              </w:numPr>
              <w:rPr>
                <w:rFonts w:ascii="IBM Plex Sans Light" w:hAnsi="IBM Plex Sans Light"/>
                <w:sz w:val="20"/>
                <w:szCs w:val="20"/>
              </w:rPr>
            </w:pPr>
            <w:r w:rsidRPr="00AD520D">
              <w:rPr>
                <w:rFonts w:ascii="IBM Plex Sans Light" w:hAnsi="IBM Plex Sans Light"/>
                <w:sz w:val="20"/>
                <w:szCs w:val="20"/>
              </w:rPr>
              <w:t>Eliminates direct access to multiple systems or</w:t>
            </w:r>
          </w:p>
          <w:p w14:paraId="32B2747D" w14:textId="6557518B" w:rsidR="00AD520D" w:rsidRPr="00AD520D" w:rsidRDefault="00AD520D" w:rsidP="00AD520D">
            <w:pPr>
              <w:pStyle w:val="ListParagraph"/>
              <w:numPr>
                <w:ilvl w:val="0"/>
                <w:numId w:val="3"/>
              </w:numPr>
              <w:rPr>
                <w:rFonts w:ascii="IBM Plex Sans Light" w:hAnsi="IBM Plex Sans Light"/>
                <w:sz w:val="20"/>
                <w:szCs w:val="20"/>
              </w:rPr>
            </w:pPr>
            <w:r w:rsidRPr="00AD520D">
              <w:rPr>
                <w:rFonts w:ascii="IBM Plex Sans Light" w:hAnsi="IBM Plex Sans Light"/>
                <w:sz w:val="20"/>
                <w:szCs w:val="20"/>
              </w:rPr>
              <w:t xml:space="preserve">portals by funnelling requests to </w:t>
            </w:r>
            <w:r w:rsidRPr="00AD520D">
              <w:rPr>
                <w:rFonts w:ascii="IBM Plex Sans Light" w:hAnsi="IBM Plex Sans Light"/>
                <w:b/>
                <w:bCs/>
                <w:sz w:val="20"/>
                <w:szCs w:val="20"/>
              </w:rPr>
              <w:t xml:space="preserve">a single </w:t>
            </w:r>
            <w:r w:rsidRPr="00AD520D">
              <w:rPr>
                <w:rFonts w:ascii="IBM Plex Sans Light" w:hAnsi="IBM Plex Sans Light"/>
                <w:b/>
                <w:bCs/>
                <w:sz w:val="20"/>
                <w:szCs w:val="20"/>
              </w:rPr>
              <w:t>point</w:t>
            </w:r>
            <w:r>
              <w:rPr>
                <w:rFonts w:ascii="IBM Plex Sans Light" w:hAnsi="IBM Plex Sans Light"/>
                <w:sz w:val="20"/>
                <w:szCs w:val="20"/>
              </w:rPr>
              <w:t>. Systems include databases and object storage (</w:t>
            </w:r>
            <w:proofErr w:type="spellStart"/>
            <w:r>
              <w:rPr>
                <w:rFonts w:ascii="IBM Plex Sans Light" w:hAnsi="IBM Plex Sans Light"/>
                <w:sz w:val="20"/>
                <w:szCs w:val="20"/>
              </w:rPr>
              <w:t>ie</w:t>
            </w:r>
            <w:proofErr w:type="spellEnd"/>
            <w:r>
              <w:rPr>
                <w:rFonts w:ascii="IBM Plex Sans Light" w:hAnsi="IBM Plex Sans Light"/>
                <w:sz w:val="20"/>
                <w:szCs w:val="20"/>
              </w:rPr>
              <w:t>, Box).</w:t>
            </w:r>
          </w:p>
          <w:p w14:paraId="65DDE6F2" w14:textId="71A6DB2A" w:rsidR="00AD520D" w:rsidRDefault="00AD520D" w:rsidP="00AD520D">
            <w:pPr>
              <w:pStyle w:val="ListParagraph"/>
              <w:numPr>
                <w:ilvl w:val="0"/>
                <w:numId w:val="3"/>
              </w:numPr>
              <w:rPr>
                <w:rFonts w:ascii="IBM Plex Sans Light" w:hAnsi="IBM Plex Sans Light"/>
                <w:sz w:val="20"/>
                <w:szCs w:val="20"/>
              </w:rPr>
            </w:pPr>
            <w:r>
              <w:rPr>
                <w:rFonts w:ascii="IBM Plex Sans Light" w:hAnsi="IBM Plex Sans Light"/>
                <w:sz w:val="20"/>
                <w:szCs w:val="20"/>
              </w:rPr>
              <w:t xml:space="preserve">Advanced </w:t>
            </w:r>
            <w:r w:rsidRPr="002A3D72">
              <w:rPr>
                <w:rFonts w:ascii="IBM Plex Sans Light" w:hAnsi="IBM Plex Sans Light"/>
                <w:b/>
                <w:bCs/>
                <w:sz w:val="20"/>
                <w:szCs w:val="20"/>
              </w:rPr>
              <w:t>Search</w:t>
            </w:r>
            <w:r>
              <w:rPr>
                <w:rFonts w:ascii="IBM Plex Sans Light" w:hAnsi="IBM Plex Sans Light"/>
                <w:sz w:val="20"/>
                <w:szCs w:val="20"/>
              </w:rPr>
              <w:t xml:space="preserve"> and </w:t>
            </w:r>
            <w:r w:rsidRPr="002A3D72">
              <w:rPr>
                <w:rFonts w:ascii="IBM Plex Sans Light" w:hAnsi="IBM Plex Sans Light"/>
                <w:b/>
                <w:bCs/>
                <w:sz w:val="20"/>
                <w:szCs w:val="20"/>
              </w:rPr>
              <w:t>Summarisation</w:t>
            </w:r>
            <w:r>
              <w:rPr>
                <w:rFonts w:ascii="IBM Plex Sans Light" w:hAnsi="IBM Plex Sans Light"/>
                <w:sz w:val="20"/>
                <w:szCs w:val="20"/>
              </w:rPr>
              <w:t xml:space="preserve"> capabilities, able to summarise lengthy (or many short documents) into one single concise document</w:t>
            </w:r>
          </w:p>
          <w:p w14:paraId="612F235F" w14:textId="5C32B240" w:rsidR="00AD520D" w:rsidRPr="002A3D72" w:rsidRDefault="00AD520D" w:rsidP="002A3D72">
            <w:pPr>
              <w:pStyle w:val="ListParagraph"/>
              <w:numPr>
                <w:ilvl w:val="0"/>
                <w:numId w:val="3"/>
              </w:numPr>
              <w:rPr>
                <w:rFonts w:ascii="IBM Plex Sans Light" w:hAnsi="IBM Plex Sans Light"/>
                <w:sz w:val="20"/>
                <w:szCs w:val="20"/>
              </w:rPr>
            </w:pPr>
            <w:r w:rsidRPr="00AD520D">
              <w:rPr>
                <w:rFonts w:ascii="IBM Plex Sans Light" w:hAnsi="IBM Plex Sans Light"/>
                <w:sz w:val="20"/>
                <w:szCs w:val="20"/>
              </w:rPr>
              <w:t xml:space="preserve">AI agent securely retrieves </w:t>
            </w:r>
            <w:r w:rsidRPr="002A3D72">
              <w:rPr>
                <w:rFonts w:ascii="IBM Plex Sans Light" w:hAnsi="IBM Plex Sans Light"/>
                <w:b/>
                <w:bCs/>
                <w:sz w:val="20"/>
                <w:szCs w:val="20"/>
              </w:rPr>
              <w:t>employee-specific</w:t>
            </w:r>
            <w:r w:rsidR="002A3D72">
              <w:rPr>
                <w:rFonts w:ascii="IBM Plex Sans Light" w:hAnsi="IBM Plex Sans Light"/>
                <w:sz w:val="20"/>
                <w:szCs w:val="20"/>
              </w:rPr>
              <w:t xml:space="preserve"> </w:t>
            </w:r>
            <w:r w:rsidRPr="002A3D72">
              <w:rPr>
                <w:rFonts w:ascii="IBM Plex Sans Light" w:hAnsi="IBM Plex Sans Light"/>
                <w:sz w:val="20"/>
                <w:szCs w:val="20"/>
              </w:rPr>
              <w:t>data from legacy systems and databases.</w:t>
            </w:r>
          </w:p>
          <w:p w14:paraId="5CB642FF" w14:textId="76196BDD" w:rsidR="00AD520D" w:rsidRPr="002A3D72" w:rsidRDefault="00AD520D" w:rsidP="002A3D72">
            <w:pPr>
              <w:pStyle w:val="ListParagraph"/>
              <w:numPr>
                <w:ilvl w:val="0"/>
                <w:numId w:val="3"/>
              </w:numPr>
              <w:rPr>
                <w:rFonts w:ascii="IBM Plex Sans Light" w:hAnsi="IBM Plex Sans Light"/>
                <w:sz w:val="20"/>
                <w:szCs w:val="20"/>
              </w:rPr>
            </w:pPr>
            <w:r w:rsidRPr="00AD520D">
              <w:rPr>
                <w:rFonts w:ascii="IBM Plex Sans Light" w:hAnsi="IBM Plex Sans Light"/>
                <w:sz w:val="20"/>
                <w:szCs w:val="20"/>
              </w:rPr>
              <w:t>Ensures role-based access control (</w:t>
            </w:r>
            <w:r w:rsidRPr="002A3D72">
              <w:rPr>
                <w:rFonts w:ascii="IBM Plex Sans Light" w:hAnsi="IBM Plex Sans Light"/>
                <w:b/>
                <w:bCs/>
                <w:sz w:val="20"/>
                <w:szCs w:val="20"/>
              </w:rPr>
              <w:t>RBAC</w:t>
            </w:r>
            <w:r w:rsidRPr="00AD520D">
              <w:rPr>
                <w:rFonts w:ascii="IBM Plex Sans Light" w:hAnsi="IBM Plex Sans Light"/>
                <w:sz w:val="20"/>
                <w:szCs w:val="20"/>
              </w:rPr>
              <w:t>) for</w:t>
            </w:r>
            <w:r w:rsidR="002A3D72">
              <w:rPr>
                <w:rFonts w:ascii="IBM Plex Sans Light" w:hAnsi="IBM Plex Sans Light"/>
                <w:sz w:val="20"/>
                <w:szCs w:val="20"/>
              </w:rPr>
              <w:t xml:space="preserve"> </w:t>
            </w:r>
            <w:r w:rsidRPr="002A3D72">
              <w:rPr>
                <w:rFonts w:ascii="IBM Plex Sans Light" w:hAnsi="IBM Plex Sans Light"/>
                <w:sz w:val="20"/>
                <w:szCs w:val="20"/>
              </w:rPr>
              <w:t>data privacy and compliance.</w:t>
            </w:r>
          </w:p>
          <w:p w14:paraId="60473710" w14:textId="77777777" w:rsidR="004003F6" w:rsidRDefault="004003F6" w:rsidP="005659CA">
            <w:pPr>
              <w:rPr>
                <w:rFonts w:ascii="IBM Plex Sans Light" w:hAnsi="IBM Plex Sans Light"/>
                <w:sz w:val="20"/>
                <w:szCs w:val="20"/>
              </w:rPr>
            </w:pPr>
          </w:p>
          <w:p w14:paraId="55D96C47" w14:textId="77777777" w:rsidR="004003F6" w:rsidRPr="00F11FCE" w:rsidRDefault="004003F6" w:rsidP="005659CA">
            <w:pPr>
              <w:rPr>
                <w:rFonts w:ascii="IBM Plex Sans Light" w:hAnsi="IBM Plex Sans Light"/>
                <w:sz w:val="20"/>
                <w:szCs w:val="20"/>
              </w:rPr>
            </w:pPr>
          </w:p>
        </w:tc>
      </w:tr>
      <w:tr w:rsidR="004003F6" w:rsidRPr="00F11FCE" w14:paraId="1AA55E09" w14:textId="77777777" w:rsidTr="000103D1">
        <w:tc>
          <w:tcPr>
            <w:tcW w:w="9016" w:type="dxa"/>
            <w:gridSpan w:val="3"/>
          </w:tcPr>
          <w:p w14:paraId="32FFCE98" w14:textId="1E702996" w:rsidR="004003F6" w:rsidRPr="00F11FCE" w:rsidRDefault="004003F6" w:rsidP="005659CA">
            <w:pPr>
              <w:rPr>
                <w:rFonts w:ascii="IBM Plex Sans Light" w:hAnsi="IBM Plex Sans Light"/>
                <w:sz w:val="20"/>
                <w:szCs w:val="20"/>
              </w:rPr>
            </w:pPr>
            <w:r>
              <w:rPr>
                <w:rFonts w:ascii="IBM Plex Sans Light" w:hAnsi="IBM Plex Sans Light"/>
                <w:sz w:val="20"/>
                <w:szCs w:val="20"/>
              </w:rPr>
              <w:t>Business value statement</w:t>
            </w:r>
          </w:p>
        </w:tc>
      </w:tr>
      <w:tr w:rsidR="00271C39" w:rsidRPr="00F11FCE" w14:paraId="194CF653" w14:textId="77777777" w:rsidTr="005659CA">
        <w:tc>
          <w:tcPr>
            <w:tcW w:w="421" w:type="dxa"/>
          </w:tcPr>
          <w:p w14:paraId="55153751" w14:textId="77777777" w:rsidR="004003F6" w:rsidRDefault="004003F6" w:rsidP="005659CA">
            <w:pPr>
              <w:rPr>
                <w:rFonts w:ascii="IBM Plex Sans Light" w:hAnsi="IBM Plex Sans Light"/>
                <w:sz w:val="20"/>
                <w:szCs w:val="20"/>
              </w:rPr>
            </w:pPr>
            <w:r>
              <w:rPr>
                <w:rFonts w:ascii="IBM Plex Sans Light" w:hAnsi="IBM Plex Sans Light"/>
                <w:sz w:val="20"/>
                <w:szCs w:val="20"/>
              </w:rPr>
              <w:sym w:font="Symbol" w:char="F0B7"/>
            </w:r>
          </w:p>
        </w:tc>
        <w:tc>
          <w:tcPr>
            <w:tcW w:w="2835" w:type="dxa"/>
          </w:tcPr>
          <w:p w14:paraId="29F7F32C" w14:textId="77777777" w:rsidR="004003F6" w:rsidRDefault="004003F6" w:rsidP="005659CA">
            <w:pPr>
              <w:rPr>
                <w:rFonts w:ascii="IBM Plex Sans Light" w:hAnsi="IBM Plex Sans Light"/>
                <w:sz w:val="20"/>
                <w:szCs w:val="20"/>
              </w:rPr>
            </w:pPr>
            <w:r>
              <w:rPr>
                <w:rFonts w:ascii="IBM Plex Sans Light" w:hAnsi="IBM Plex Sans Light"/>
                <w:sz w:val="20"/>
                <w:szCs w:val="20"/>
              </w:rPr>
              <w:t>Persona A</w:t>
            </w:r>
          </w:p>
        </w:tc>
        <w:tc>
          <w:tcPr>
            <w:tcW w:w="5760" w:type="dxa"/>
          </w:tcPr>
          <w:p w14:paraId="1FD88DB4" w14:textId="0F24FF56" w:rsidR="004003F6" w:rsidRDefault="00496C8E" w:rsidP="005659CA">
            <w:pPr>
              <w:rPr>
                <w:rFonts w:ascii="IBM Plex Sans Light" w:hAnsi="IBM Plex Sans Light"/>
                <w:sz w:val="20"/>
                <w:szCs w:val="20"/>
              </w:rPr>
            </w:pPr>
            <w:r>
              <w:rPr>
                <w:rFonts w:ascii="IBM Plex Sans Light" w:hAnsi="IBM Plex Sans Light"/>
                <w:sz w:val="20"/>
                <w:szCs w:val="20"/>
              </w:rPr>
              <w:t xml:space="preserve">As stated above, Persona A, our new joiner is now able to contribute and hit the ground running in a shorter amount of time </w:t>
            </w:r>
            <w:proofErr w:type="gramStart"/>
            <w:r>
              <w:rPr>
                <w:rFonts w:ascii="IBM Plex Sans Light" w:hAnsi="IBM Plex Sans Light"/>
                <w:sz w:val="20"/>
                <w:szCs w:val="20"/>
              </w:rPr>
              <w:t>as a result of</w:t>
            </w:r>
            <w:proofErr w:type="gramEnd"/>
            <w:r>
              <w:rPr>
                <w:rFonts w:ascii="IBM Plex Sans Light" w:hAnsi="IBM Plex Sans Light"/>
                <w:sz w:val="20"/>
                <w:szCs w:val="20"/>
              </w:rPr>
              <w:t>:</w:t>
            </w:r>
          </w:p>
          <w:p w14:paraId="4F744ED4" w14:textId="77777777" w:rsidR="00496C8E" w:rsidRDefault="00496C8E" w:rsidP="005659CA">
            <w:pPr>
              <w:rPr>
                <w:rFonts w:ascii="IBM Plex Sans Light" w:hAnsi="IBM Plex Sans Light"/>
                <w:sz w:val="20"/>
                <w:szCs w:val="20"/>
              </w:rPr>
            </w:pPr>
          </w:p>
          <w:p w14:paraId="0B2BADD4" w14:textId="6E275D58" w:rsidR="00496C8E" w:rsidRDefault="00496C8E" w:rsidP="00496C8E">
            <w:pPr>
              <w:pStyle w:val="ListParagraph"/>
              <w:numPr>
                <w:ilvl w:val="0"/>
                <w:numId w:val="3"/>
              </w:numPr>
              <w:rPr>
                <w:rFonts w:ascii="IBM Plex Sans Light" w:hAnsi="IBM Plex Sans Light"/>
                <w:sz w:val="20"/>
                <w:szCs w:val="20"/>
              </w:rPr>
            </w:pPr>
            <w:r>
              <w:rPr>
                <w:rFonts w:ascii="IBM Plex Sans Light" w:hAnsi="IBM Plex Sans Light"/>
                <w:sz w:val="20"/>
                <w:szCs w:val="20"/>
              </w:rPr>
              <w:t>Not needing to wait for access to multiple systems</w:t>
            </w:r>
          </w:p>
          <w:p w14:paraId="41E9B0F7" w14:textId="6D8A032E" w:rsidR="00496C8E" w:rsidRDefault="00496C8E" w:rsidP="00496C8E">
            <w:pPr>
              <w:pStyle w:val="ListParagraph"/>
              <w:numPr>
                <w:ilvl w:val="0"/>
                <w:numId w:val="3"/>
              </w:numPr>
              <w:rPr>
                <w:rFonts w:ascii="IBM Plex Sans Light" w:hAnsi="IBM Plex Sans Light"/>
                <w:sz w:val="20"/>
                <w:szCs w:val="20"/>
              </w:rPr>
            </w:pPr>
            <w:r>
              <w:rPr>
                <w:rFonts w:ascii="IBM Plex Sans Light" w:hAnsi="IBM Plex Sans Light"/>
                <w:sz w:val="20"/>
                <w:szCs w:val="20"/>
              </w:rPr>
              <w:t>Advanced summarisation capabilities of Mr Anderson. The many documents in, say, Box can be summarised into one concise “all you need to know” Box note.</w:t>
            </w:r>
          </w:p>
          <w:p w14:paraId="178EC39B" w14:textId="22116126" w:rsidR="00496C8E" w:rsidRDefault="00496C8E" w:rsidP="00496C8E">
            <w:pPr>
              <w:rPr>
                <w:rFonts w:ascii="IBM Plex Sans Light" w:hAnsi="IBM Plex Sans Light"/>
                <w:sz w:val="20"/>
                <w:szCs w:val="20"/>
              </w:rPr>
            </w:pPr>
          </w:p>
          <w:p w14:paraId="3B932458" w14:textId="0071CB4D" w:rsidR="00496C8E" w:rsidRPr="00496C8E" w:rsidRDefault="00496C8E" w:rsidP="00496C8E">
            <w:pPr>
              <w:rPr>
                <w:rFonts w:ascii="IBM Plex Sans Light" w:hAnsi="IBM Plex Sans Light"/>
                <w:sz w:val="20"/>
                <w:szCs w:val="20"/>
              </w:rPr>
            </w:pPr>
            <w:r>
              <w:rPr>
                <w:rFonts w:ascii="IBM Plex Sans Light" w:hAnsi="IBM Plex Sans Light"/>
                <w:sz w:val="20"/>
                <w:szCs w:val="20"/>
              </w:rPr>
              <w:t>All that is required is access to Mr Anderson.</w:t>
            </w:r>
          </w:p>
          <w:p w14:paraId="51C0E724" w14:textId="77777777" w:rsidR="004003F6" w:rsidRDefault="004003F6" w:rsidP="005659CA">
            <w:pPr>
              <w:rPr>
                <w:rFonts w:ascii="IBM Plex Sans Light" w:hAnsi="IBM Plex Sans Light"/>
                <w:sz w:val="20"/>
                <w:szCs w:val="20"/>
              </w:rPr>
            </w:pPr>
          </w:p>
          <w:p w14:paraId="7070251E" w14:textId="77777777" w:rsidR="004003F6" w:rsidRPr="00F11FCE" w:rsidRDefault="004003F6" w:rsidP="005659CA">
            <w:pPr>
              <w:rPr>
                <w:rFonts w:ascii="IBM Plex Sans Light" w:hAnsi="IBM Plex Sans Light"/>
                <w:sz w:val="20"/>
                <w:szCs w:val="20"/>
              </w:rPr>
            </w:pPr>
          </w:p>
        </w:tc>
      </w:tr>
      <w:tr w:rsidR="00271C39" w:rsidRPr="00F11FCE" w14:paraId="386CF628" w14:textId="77777777" w:rsidTr="005659CA">
        <w:tc>
          <w:tcPr>
            <w:tcW w:w="421" w:type="dxa"/>
          </w:tcPr>
          <w:p w14:paraId="38927C62" w14:textId="77777777" w:rsidR="004003F6" w:rsidRDefault="004003F6" w:rsidP="005659CA">
            <w:pPr>
              <w:rPr>
                <w:rFonts w:ascii="IBM Plex Sans Light" w:hAnsi="IBM Plex Sans Light"/>
                <w:sz w:val="20"/>
                <w:szCs w:val="20"/>
              </w:rPr>
            </w:pPr>
            <w:r>
              <w:rPr>
                <w:rFonts w:ascii="IBM Plex Sans Light" w:hAnsi="IBM Plex Sans Light"/>
                <w:sz w:val="20"/>
                <w:szCs w:val="20"/>
              </w:rPr>
              <w:sym w:font="Symbol" w:char="F0B7"/>
            </w:r>
          </w:p>
        </w:tc>
        <w:tc>
          <w:tcPr>
            <w:tcW w:w="2835" w:type="dxa"/>
          </w:tcPr>
          <w:p w14:paraId="66BA9836" w14:textId="77777777" w:rsidR="004003F6" w:rsidRDefault="004003F6" w:rsidP="005659CA">
            <w:pPr>
              <w:rPr>
                <w:rFonts w:ascii="IBM Plex Sans Light" w:hAnsi="IBM Plex Sans Light"/>
                <w:sz w:val="20"/>
                <w:szCs w:val="20"/>
              </w:rPr>
            </w:pPr>
            <w:r>
              <w:rPr>
                <w:rFonts w:ascii="IBM Plex Sans Light" w:hAnsi="IBM Plex Sans Light"/>
                <w:sz w:val="20"/>
                <w:szCs w:val="20"/>
              </w:rPr>
              <w:t>Persona B</w:t>
            </w:r>
          </w:p>
        </w:tc>
        <w:tc>
          <w:tcPr>
            <w:tcW w:w="5760" w:type="dxa"/>
          </w:tcPr>
          <w:p w14:paraId="1F6E3CF1" w14:textId="16954658" w:rsidR="004003F6" w:rsidRDefault="000F26C5" w:rsidP="005659CA">
            <w:pPr>
              <w:rPr>
                <w:rFonts w:ascii="IBM Plex Sans Light" w:hAnsi="IBM Plex Sans Light"/>
                <w:sz w:val="20"/>
                <w:szCs w:val="20"/>
              </w:rPr>
            </w:pPr>
            <w:r>
              <w:rPr>
                <w:rFonts w:ascii="IBM Plex Sans Light" w:hAnsi="IBM Plex Sans Light"/>
                <w:sz w:val="20"/>
                <w:szCs w:val="20"/>
              </w:rPr>
              <w:t>Persona B, our existing representative is now able to allocate only a fraction of the time he/she would have otherwise allocated for enablement/handover in the past.</w:t>
            </w:r>
          </w:p>
          <w:p w14:paraId="786C2DCD" w14:textId="77777777" w:rsidR="000F26C5" w:rsidRDefault="000F26C5" w:rsidP="005659CA">
            <w:pPr>
              <w:rPr>
                <w:rFonts w:ascii="IBM Plex Sans Light" w:hAnsi="IBM Plex Sans Light"/>
                <w:sz w:val="20"/>
                <w:szCs w:val="20"/>
              </w:rPr>
            </w:pPr>
          </w:p>
          <w:p w14:paraId="759A9EEB" w14:textId="77777777" w:rsidR="000F26C5" w:rsidRDefault="000F26C5" w:rsidP="005659CA">
            <w:pPr>
              <w:rPr>
                <w:rFonts w:ascii="IBM Plex Sans Light" w:hAnsi="IBM Plex Sans Light"/>
                <w:sz w:val="20"/>
                <w:szCs w:val="20"/>
              </w:rPr>
            </w:pPr>
          </w:p>
          <w:p w14:paraId="00CED9BF" w14:textId="66DAE0CA" w:rsidR="000F26C5" w:rsidRDefault="000F26C5" w:rsidP="005659CA">
            <w:pPr>
              <w:rPr>
                <w:rFonts w:ascii="IBM Plex Sans Light" w:hAnsi="IBM Plex Sans Light"/>
                <w:sz w:val="20"/>
                <w:szCs w:val="20"/>
              </w:rPr>
            </w:pPr>
            <w:r>
              <w:rPr>
                <w:rFonts w:ascii="IBM Plex Sans Light" w:hAnsi="IBM Plex Sans Light"/>
                <w:sz w:val="20"/>
                <w:szCs w:val="20"/>
              </w:rPr>
              <w:t>In both cases, that is, Persona A and B, many hours can be saved, increasing operational efficiency as a result.</w:t>
            </w:r>
          </w:p>
          <w:p w14:paraId="63249D8D" w14:textId="77777777" w:rsidR="004003F6" w:rsidRDefault="004003F6" w:rsidP="005659CA">
            <w:pPr>
              <w:rPr>
                <w:rFonts w:ascii="IBM Plex Sans Light" w:hAnsi="IBM Plex Sans Light"/>
                <w:sz w:val="20"/>
                <w:szCs w:val="20"/>
              </w:rPr>
            </w:pPr>
          </w:p>
          <w:p w14:paraId="0EBD0650" w14:textId="77777777" w:rsidR="004003F6" w:rsidRDefault="004003F6" w:rsidP="005659CA">
            <w:pPr>
              <w:rPr>
                <w:rFonts w:ascii="IBM Plex Sans Light" w:hAnsi="IBM Plex Sans Light"/>
                <w:sz w:val="20"/>
                <w:szCs w:val="20"/>
              </w:rPr>
            </w:pPr>
          </w:p>
          <w:p w14:paraId="04A7E79C" w14:textId="77777777" w:rsidR="004003F6" w:rsidRPr="00F11FCE" w:rsidRDefault="004003F6" w:rsidP="005659CA">
            <w:pPr>
              <w:rPr>
                <w:rFonts w:ascii="IBM Plex Sans Light" w:hAnsi="IBM Plex Sans Light"/>
                <w:sz w:val="20"/>
                <w:szCs w:val="20"/>
              </w:rPr>
            </w:pPr>
          </w:p>
        </w:tc>
      </w:tr>
      <w:tr w:rsidR="00271C39" w:rsidRPr="00F11FCE" w14:paraId="20304F03" w14:textId="77777777" w:rsidTr="005659CA">
        <w:tc>
          <w:tcPr>
            <w:tcW w:w="3256" w:type="dxa"/>
            <w:gridSpan w:val="2"/>
          </w:tcPr>
          <w:p w14:paraId="472C35FF" w14:textId="77777777" w:rsidR="004003F6" w:rsidRDefault="004003F6" w:rsidP="005659CA">
            <w:pPr>
              <w:rPr>
                <w:rFonts w:ascii="IBM Plex Sans Light" w:hAnsi="IBM Plex Sans Light"/>
                <w:sz w:val="20"/>
                <w:szCs w:val="20"/>
              </w:rPr>
            </w:pPr>
            <w:r>
              <w:rPr>
                <w:rFonts w:ascii="IBM Plex Sans Light" w:hAnsi="IBM Plex Sans Light"/>
                <w:sz w:val="20"/>
                <w:szCs w:val="20"/>
              </w:rPr>
              <w:lastRenderedPageBreak/>
              <w:t>Architecture</w:t>
            </w:r>
          </w:p>
        </w:tc>
        <w:tc>
          <w:tcPr>
            <w:tcW w:w="5760" w:type="dxa"/>
          </w:tcPr>
          <w:p w14:paraId="19B1A018" w14:textId="77777777" w:rsidR="00856535" w:rsidRDefault="00856535" w:rsidP="005659CA">
            <w:pPr>
              <w:rPr>
                <w:rFonts w:ascii="IBM Plex Sans Light" w:hAnsi="IBM Plex Sans Light"/>
                <w:sz w:val="20"/>
                <w:szCs w:val="20"/>
              </w:rPr>
            </w:pPr>
            <w:r>
              <w:rPr>
                <w:rFonts w:ascii="IBM Plex Sans Light" w:hAnsi="IBM Plex Sans Light"/>
                <w:sz w:val="20"/>
                <w:szCs w:val="20"/>
              </w:rPr>
              <w:t xml:space="preserve">System Architecture can be found below. We use the open-source </w:t>
            </w:r>
            <w:proofErr w:type="spellStart"/>
            <w:r>
              <w:rPr>
                <w:rFonts w:ascii="IBM Plex Sans Light" w:hAnsi="IBM Plex Sans Light"/>
                <w:sz w:val="20"/>
                <w:szCs w:val="20"/>
              </w:rPr>
              <w:t>CrewAI</w:t>
            </w:r>
            <w:proofErr w:type="spellEnd"/>
            <w:r>
              <w:rPr>
                <w:rFonts w:ascii="IBM Plex Sans Light" w:hAnsi="IBM Plex Sans Light"/>
                <w:sz w:val="20"/>
                <w:szCs w:val="20"/>
              </w:rPr>
              <w:t xml:space="preserve"> framework to orchestrate the workflow and the sharing of information from one agent/task pair to the other.</w:t>
            </w:r>
          </w:p>
          <w:p w14:paraId="0EFD7C60" w14:textId="77777777" w:rsidR="00856535" w:rsidRDefault="00856535" w:rsidP="005659CA">
            <w:pPr>
              <w:rPr>
                <w:rFonts w:ascii="IBM Plex Sans Light" w:hAnsi="IBM Plex Sans Light"/>
                <w:sz w:val="20"/>
                <w:szCs w:val="20"/>
              </w:rPr>
            </w:pPr>
          </w:p>
          <w:p w14:paraId="57747403" w14:textId="44DF0E2A" w:rsidR="004003F6" w:rsidRDefault="00856535" w:rsidP="005659CA">
            <w:pPr>
              <w:rPr>
                <w:rFonts w:ascii="IBM Plex Sans Light" w:hAnsi="IBM Plex Sans Light"/>
                <w:sz w:val="20"/>
                <w:szCs w:val="20"/>
              </w:rPr>
            </w:pPr>
            <w:r>
              <w:rPr>
                <w:rFonts w:ascii="IBM Plex Sans Light" w:hAnsi="IBM Plex Sans Light"/>
                <w:sz w:val="20"/>
                <w:szCs w:val="20"/>
              </w:rPr>
              <w:t>In chronological order, the flow is as such:</w:t>
            </w:r>
          </w:p>
          <w:p w14:paraId="7A3A686A" w14:textId="77777777" w:rsidR="00856535" w:rsidRDefault="00856535" w:rsidP="005659CA">
            <w:pPr>
              <w:rPr>
                <w:rFonts w:ascii="IBM Plex Sans Light" w:hAnsi="IBM Plex Sans Light"/>
                <w:sz w:val="20"/>
                <w:szCs w:val="20"/>
              </w:rPr>
            </w:pPr>
          </w:p>
          <w:p w14:paraId="6DE6ED80" w14:textId="79F6150D" w:rsidR="00856535" w:rsidRDefault="00856535" w:rsidP="00856535">
            <w:pPr>
              <w:pStyle w:val="ListParagraph"/>
              <w:numPr>
                <w:ilvl w:val="0"/>
                <w:numId w:val="4"/>
              </w:numPr>
              <w:rPr>
                <w:rFonts w:ascii="IBM Plex Sans Light" w:hAnsi="IBM Plex Sans Light"/>
                <w:sz w:val="20"/>
                <w:szCs w:val="20"/>
              </w:rPr>
            </w:pPr>
            <w:r>
              <w:rPr>
                <w:rFonts w:ascii="IBM Plex Sans Light" w:hAnsi="IBM Plex Sans Light"/>
                <w:sz w:val="20"/>
                <w:szCs w:val="20"/>
              </w:rPr>
              <w:t>The new representative wishes to understand which representative to reach out to seek information in relation to onboarding to a new account</w:t>
            </w:r>
            <w:r w:rsidR="00271C39">
              <w:rPr>
                <w:rFonts w:ascii="IBM Plex Sans Light" w:hAnsi="IBM Plex Sans Light"/>
                <w:sz w:val="20"/>
                <w:szCs w:val="20"/>
              </w:rPr>
              <w:t>.</w:t>
            </w:r>
          </w:p>
          <w:p w14:paraId="4567F902" w14:textId="77777777" w:rsidR="00271C39" w:rsidRDefault="00271C39" w:rsidP="00271C39">
            <w:pPr>
              <w:pStyle w:val="ListParagraph"/>
              <w:rPr>
                <w:rFonts w:ascii="IBM Plex Sans Light" w:hAnsi="IBM Plex Sans Light"/>
                <w:sz w:val="20"/>
                <w:szCs w:val="20"/>
              </w:rPr>
            </w:pPr>
          </w:p>
          <w:p w14:paraId="593CCA01" w14:textId="40C8AD79" w:rsidR="00856535" w:rsidRDefault="00856535" w:rsidP="00856535">
            <w:pPr>
              <w:pStyle w:val="ListParagraph"/>
              <w:numPr>
                <w:ilvl w:val="0"/>
                <w:numId w:val="4"/>
              </w:numPr>
              <w:rPr>
                <w:rFonts w:ascii="IBM Plex Sans Light" w:hAnsi="IBM Plex Sans Light"/>
                <w:sz w:val="20"/>
                <w:szCs w:val="20"/>
              </w:rPr>
            </w:pPr>
            <w:r>
              <w:rPr>
                <w:rFonts w:ascii="IBM Plex Sans Light" w:hAnsi="IBM Plex Sans Light"/>
                <w:sz w:val="20"/>
                <w:szCs w:val="20"/>
              </w:rPr>
              <w:t xml:space="preserve">The query, via the appropriate agent, is dispatched to the appropriate data source (user/account DB in this case), to fetch the identity of the existing rep. The original query is converted to a SQL query using the relevant model available on the </w:t>
            </w:r>
            <w:proofErr w:type="spellStart"/>
            <w:r>
              <w:rPr>
                <w:rFonts w:ascii="IBM Plex Sans Light" w:hAnsi="IBM Plex Sans Light"/>
                <w:sz w:val="20"/>
                <w:szCs w:val="20"/>
              </w:rPr>
              <w:t>WatsonX</w:t>
            </w:r>
            <w:proofErr w:type="spellEnd"/>
            <w:r>
              <w:rPr>
                <w:rFonts w:ascii="IBM Plex Sans Light" w:hAnsi="IBM Plex Sans Light"/>
                <w:sz w:val="20"/>
                <w:szCs w:val="20"/>
              </w:rPr>
              <w:t xml:space="preserve"> platform</w:t>
            </w:r>
            <w:r w:rsidR="00271C39">
              <w:rPr>
                <w:rFonts w:ascii="IBM Plex Sans Light" w:hAnsi="IBM Plex Sans Light"/>
                <w:sz w:val="20"/>
                <w:szCs w:val="20"/>
              </w:rPr>
              <w:t>.</w:t>
            </w:r>
          </w:p>
          <w:p w14:paraId="281C9A97" w14:textId="77777777" w:rsidR="00271C39" w:rsidRPr="00271C39" w:rsidRDefault="00271C39" w:rsidP="00271C39">
            <w:pPr>
              <w:rPr>
                <w:rFonts w:ascii="IBM Plex Sans Light" w:hAnsi="IBM Plex Sans Light"/>
                <w:sz w:val="20"/>
                <w:szCs w:val="20"/>
              </w:rPr>
            </w:pPr>
          </w:p>
          <w:p w14:paraId="73575FC6" w14:textId="59B53F76" w:rsidR="00856535" w:rsidRDefault="00856535" w:rsidP="00856535">
            <w:pPr>
              <w:pStyle w:val="ListParagraph"/>
              <w:numPr>
                <w:ilvl w:val="0"/>
                <w:numId w:val="4"/>
              </w:numPr>
              <w:rPr>
                <w:rFonts w:ascii="IBM Plex Sans Light" w:hAnsi="IBM Plex Sans Light"/>
                <w:sz w:val="20"/>
                <w:szCs w:val="20"/>
              </w:rPr>
            </w:pPr>
            <w:r>
              <w:rPr>
                <w:rFonts w:ascii="IBM Plex Sans Light" w:hAnsi="IBM Plex Sans Light"/>
                <w:sz w:val="20"/>
                <w:szCs w:val="20"/>
              </w:rPr>
              <w:t>Working (flagged as non-sensitive) documents, belonging to the existing rep is fetched from Object Storage (</w:t>
            </w:r>
            <w:proofErr w:type="spellStart"/>
            <w:r>
              <w:rPr>
                <w:rFonts w:ascii="IBM Plex Sans Light" w:hAnsi="IBM Plex Sans Light"/>
                <w:sz w:val="20"/>
                <w:szCs w:val="20"/>
              </w:rPr>
              <w:t>eg</w:t>
            </w:r>
            <w:proofErr w:type="spellEnd"/>
            <w:r>
              <w:rPr>
                <w:rFonts w:ascii="IBM Plex Sans Light" w:hAnsi="IBM Plex Sans Light"/>
                <w:sz w:val="20"/>
                <w:szCs w:val="20"/>
              </w:rPr>
              <w:t>, Box) pertaining to said account</w:t>
            </w:r>
            <w:r w:rsidR="00271C39">
              <w:rPr>
                <w:rFonts w:ascii="IBM Plex Sans Light" w:hAnsi="IBM Plex Sans Light"/>
                <w:sz w:val="20"/>
                <w:szCs w:val="20"/>
              </w:rPr>
              <w:t>.</w:t>
            </w:r>
          </w:p>
          <w:p w14:paraId="409F29A1" w14:textId="77777777" w:rsidR="00271C39" w:rsidRPr="00271C39" w:rsidRDefault="00271C39" w:rsidP="00271C39">
            <w:pPr>
              <w:rPr>
                <w:rFonts w:ascii="IBM Plex Sans Light" w:hAnsi="IBM Plex Sans Light"/>
                <w:sz w:val="20"/>
                <w:szCs w:val="20"/>
              </w:rPr>
            </w:pPr>
          </w:p>
          <w:p w14:paraId="13BB3F50" w14:textId="147224AF" w:rsidR="00856535" w:rsidRDefault="00856535" w:rsidP="00856535">
            <w:pPr>
              <w:pStyle w:val="ListParagraph"/>
              <w:numPr>
                <w:ilvl w:val="0"/>
                <w:numId w:val="4"/>
              </w:numPr>
              <w:rPr>
                <w:rFonts w:ascii="IBM Plex Sans Light" w:hAnsi="IBM Plex Sans Light"/>
                <w:sz w:val="20"/>
                <w:szCs w:val="20"/>
              </w:rPr>
            </w:pPr>
            <w:r>
              <w:rPr>
                <w:rFonts w:ascii="IBM Plex Sans Light" w:hAnsi="IBM Plex Sans Light"/>
                <w:sz w:val="20"/>
                <w:szCs w:val="20"/>
              </w:rPr>
              <w:t xml:space="preserve">This data (byte stream) is sent to the summariser </w:t>
            </w:r>
            <w:r w:rsidR="00271C39">
              <w:rPr>
                <w:rFonts w:ascii="IBM Plex Sans Light" w:hAnsi="IBM Plex Sans Light"/>
                <w:sz w:val="20"/>
                <w:szCs w:val="20"/>
              </w:rPr>
              <w:t>agent,</w:t>
            </w:r>
            <w:r>
              <w:rPr>
                <w:rFonts w:ascii="IBM Plex Sans Light" w:hAnsi="IBM Plex Sans Light"/>
                <w:sz w:val="20"/>
                <w:szCs w:val="20"/>
              </w:rPr>
              <w:t xml:space="preserve"> and a summary request is dispatched to the relevant model available on the </w:t>
            </w:r>
            <w:proofErr w:type="spellStart"/>
            <w:r>
              <w:rPr>
                <w:rFonts w:ascii="IBM Plex Sans Light" w:hAnsi="IBM Plex Sans Light"/>
                <w:sz w:val="20"/>
                <w:szCs w:val="20"/>
              </w:rPr>
              <w:t>WatsonX</w:t>
            </w:r>
            <w:proofErr w:type="spellEnd"/>
            <w:r>
              <w:rPr>
                <w:rFonts w:ascii="IBM Plex Sans Light" w:hAnsi="IBM Plex Sans Light"/>
                <w:sz w:val="20"/>
                <w:szCs w:val="20"/>
              </w:rPr>
              <w:t xml:space="preserve"> platform.</w:t>
            </w:r>
          </w:p>
          <w:p w14:paraId="728D9369" w14:textId="77777777" w:rsidR="00271C39" w:rsidRPr="00271C39" w:rsidRDefault="00271C39" w:rsidP="00271C39">
            <w:pPr>
              <w:rPr>
                <w:rFonts w:ascii="IBM Plex Sans Light" w:hAnsi="IBM Plex Sans Light"/>
                <w:sz w:val="20"/>
                <w:szCs w:val="20"/>
              </w:rPr>
            </w:pPr>
          </w:p>
          <w:p w14:paraId="2F52A6F7" w14:textId="2986AC3A" w:rsidR="00856535" w:rsidRDefault="00856535" w:rsidP="00856535">
            <w:pPr>
              <w:pStyle w:val="ListParagraph"/>
              <w:numPr>
                <w:ilvl w:val="0"/>
                <w:numId w:val="4"/>
              </w:numPr>
              <w:rPr>
                <w:rFonts w:ascii="IBM Plex Sans Light" w:hAnsi="IBM Plex Sans Light"/>
                <w:sz w:val="20"/>
                <w:szCs w:val="20"/>
              </w:rPr>
            </w:pPr>
            <w:r>
              <w:rPr>
                <w:rFonts w:ascii="IBM Plex Sans Light" w:hAnsi="IBM Plex Sans Light"/>
                <w:sz w:val="20"/>
                <w:szCs w:val="20"/>
              </w:rPr>
              <w:t xml:space="preserve">The summary is returned to the </w:t>
            </w:r>
            <w:r w:rsidR="00271C39">
              <w:rPr>
                <w:rFonts w:ascii="IBM Plex Sans Light" w:hAnsi="IBM Plex Sans Light"/>
                <w:sz w:val="20"/>
                <w:szCs w:val="20"/>
              </w:rPr>
              <w:t>user,</w:t>
            </w:r>
            <w:r>
              <w:rPr>
                <w:rFonts w:ascii="IBM Plex Sans Light" w:hAnsi="IBM Plex Sans Light"/>
                <w:sz w:val="20"/>
                <w:szCs w:val="20"/>
              </w:rPr>
              <w:t xml:space="preserve"> and a meeting</w:t>
            </w:r>
            <w:r w:rsidR="00271C39">
              <w:rPr>
                <w:rFonts w:ascii="IBM Plex Sans Light" w:hAnsi="IBM Plex Sans Light"/>
                <w:sz w:val="20"/>
                <w:szCs w:val="20"/>
              </w:rPr>
              <w:t xml:space="preserve"> is scheduled with the appropriate rep to confirm the user’s understanding of the account.</w:t>
            </w:r>
          </w:p>
          <w:p w14:paraId="765EB78B" w14:textId="77777777" w:rsidR="00271C39" w:rsidRPr="00271C39" w:rsidRDefault="00271C39" w:rsidP="00271C39">
            <w:pPr>
              <w:rPr>
                <w:rFonts w:ascii="IBM Plex Sans Light" w:hAnsi="IBM Plex Sans Light"/>
                <w:sz w:val="20"/>
                <w:szCs w:val="20"/>
              </w:rPr>
            </w:pPr>
          </w:p>
          <w:p w14:paraId="6B5437CA" w14:textId="26D5F8ED" w:rsidR="00856535" w:rsidRDefault="00856535" w:rsidP="00856535">
            <w:pPr>
              <w:pStyle w:val="ListParagraph"/>
              <w:numPr>
                <w:ilvl w:val="0"/>
                <w:numId w:val="4"/>
              </w:numPr>
              <w:rPr>
                <w:rFonts w:ascii="IBM Plex Sans Light" w:hAnsi="IBM Plex Sans Light"/>
                <w:sz w:val="20"/>
                <w:szCs w:val="20"/>
              </w:rPr>
            </w:pPr>
            <w:r>
              <w:rPr>
                <w:rFonts w:ascii="IBM Plex Sans Light" w:hAnsi="IBM Plex Sans Light"/>
                <w:sz w:val="20"/>
                <w:szCs w:val="20"/>
              </w:rPr>
              <w:t xml:space="preserve">Optionally and as indicated by the dashed arrows, user analytics can be obtained by asynchronously </w:t>
            </w:r>
            <w:r w:rsidR="00271C39">
              <w:rPr>
                <w:rFonts w:ascii="IBM Plex Sans Light" w:hAnsi="IBM Plex Sans Light"/>
                <w:sz w:val="20"/>
                <w:szCs w:val="20"/>
              </w:rPr>
              <w:t>pushing request/response pairs to a message/event broker</w:t>
            </w:r>
            <w:r w:rsidR="00302304">
              <w:rPr>
                <w:rFonts w:ascii="IBM Plex Sans Light" w:hAnsi="IBM Plex Sans Light"/>
                <w:sz w:val="20"/>
                <w:szCs w:val="20"/>
              </w:rPr>
              <w:t xml:space="preserve"> (such as MQ or Event Streams or even a combination of both if exactly once delivery is required)</w:t>
            </w:r>
            <w:r w:rsidR="00271C39">
              <w:rPr>
                <w:rFonts w:ascii="IBM Plex Sans Light" w:hAnsi="IBM Plex Sans Light"/>
                <w:sz w:val="20"/>
                <w:szCs w:val="20"/>
              </w:rPr>
              <w:t xml:space="preserve"> for storage into a FAQ database or similar should </w:t>
            </w:r>
            <w:proofErr w:type="gramStart"/>
            <w:r w:rsidR="00271C39">
              <w:rPr>
                <w:rFonts w:ascii="IBM Plex Sans Light" w:hAnsi="IBM Plex Sans Light"/>
                <w:sz w:val="20"/>
                <w:szCs w:val="20"/>
              </w:rPr>
              <w:t xml:space="preserve">a </w:t>
            </w:r>
            <w:r>
              <w:rPr>
                <w:rFonts w:ascii="IBM Plex Sans Light" w:hAnsi="IBM Plex Sans Light"/>
                <w:sz w:val="20"/>
                <w:szCs w:val="20"/>
              </w:rPr>
              <w:t xml:space="preserve"> </w:t>
            </w:r>
            <w:r w:rsidR="00271C39">
              <w:rPr>
                <w:rFonts w:ascii="IBM Plex Sans Light" w:hAnsi="IBM Plex Sans Light"/>
                <w:sz w:val="20"/>
                <w:szCs w:val="20"/>
              </w:rPr>
              <w:t>“</w:t>
            </w:r>
            <w:proofErr w:type="gramEnd"/>
            <w:r w:rsidR="00271C39">
              <w:rPr>
                <w:rFonts w:ascii="IBM Plex Sans Light" w:hAnsi="IBM Plex Sans Light"/>
                <w:sz w:val="20"/>
                <w:szCs w:val="20"/>
              </w:rPr>
              <w:t>complete”</w:t>
            </w:r>
            <w:r>
              <w:rPr>
                <w:rFonts w:ascii="IBM Plex Sans Light" w:hAnsi="IBM Plex Sans Light"/>
                <w:sz w:val="20"/>
                <w:szCs w:val="20"/>
              </w:rPr>
              <w:t xml:space="preserve"> </w:t>
            </w:r>
            <w:r w:rsidR="00271C39">
              <w:rPr>
                <w:rFonts w:ascii="IBM Plex Sans Light" w:hAnsi="IBM Plex Sans Light"/>
                <w:sz w:val="20"/>
                <w:szCs w:val="20"/>
              </w:rPr>
              <w:t>solution be desired. (</w:t>
            </w:r>
            <w:proofErr w:type="spellStart"/>
            <w:r w:rsidR="00271C39">
              <w:rPr>
                <w:rFonts w:ascii="IBM Plex Sans Light" w:hAnsi="IBM Plex Sans Light"/>
                <w:sz w:val="20"/>
                <w:szCs w:val="20"/>
              </w:rPr>
              <w:t>CrewAI</w:t>
            </w:r>
            <w:proofErr w:type="spellEnd"/>
            <w:r w:rsidR="00271C39">
              <w:rPr>
                <w:rFonts w:ascii="IBM Plex Sans Light" w:hAnsi="IBM Plex Sans Light"/>
                <w:sz w:val="20"/>
                <w:szCs w:val="20"/>
              </w:rPr>
              <w:t xml:space="preserve"> have callbacks on a per task basis which can be used for this purpose</w:t>
            </w:r>
          </w:p>
          <w:p w14:paraId="75191762" w14:textId="77777777" w:rsidR="00B31832" w:rsidRPr="00B31832" w:rsidRDefault="00B31832" w:rsidP="00B31832">
            <w:pPr>
              <w:pStyle w:val="ListParagraph"/>
              <w:rPr>
                <w:rFonts w:ascii="IBM Plex Sans Light" w:hAnsi="IBM Plex Sans Light"/>
                <w:sz w:val="20"/>
                <w:szCs w:val="20"/>
              </w:rPr>
            </w:pPr>
          </w:p>
          <w:p w14:paraId="16311C58" w14:textId="77777777" w:rsidR="00B31832" w:rsidRDefault="00B31832" w:rsidP="00B31832">
            <w:pPr>
              <w:rPr>
                <w:rFonts w:ascii="IBM Plex Sans Light" w:hAnsi="IBM Plex Sans Light"/>
                <w:sz w:val="20"/>
                <w:szCs w:val="20"/>
              </w:rPr>
            </w:pPr>
          </w:p>
          <w:p w14:paraId="488F1E90" w14:textId="42A6720F" w:rsidR="00B31832" w:rsidRPr="00B31832" w:rsidRDefault="00B31832" w:rsidP="00B31832">
            <w:pPr>
              <w:rPr>
                <w:rFonts w:ascii="IBM Plex Sans Light" w:hAnsi="IBM Plex Sans Light"/>
                <w:sz w:val="20"/>
                <w:szCs w:val="20"/>
              </w:rPr>
            </w:pPr>
            <w:r>
              <w:rPr>
                <w:rFonts w:ascii="IBM Plex Sans Light" w:hAnsi="IBM Plex Sans Light"/>
                <w:sz w:val="20"/>
                <w:szCs w:val="20"/>
              </w:rPr>
              <w:t xml:space="preserve">At the time of writing, I already have made a custom demo for this. The user/account database and cloud object storage were simulated by means of Docker containers, PostgreSQL and </w:t>
            </w:r>
            <w:proofErr w:type="gramStart"/>
            <w:r>
              <w:rPr>
                <w:rFonts w:ascii="IBM Plex Sans Light" w:hAnsi="IBM Plex Sans Light"/>
                <w:sz w:val="20"/>
                <w:szCs w:val="20"/>
              </w:rPr>
              <w:t>an</w:t>
            </w:r>
            <w:proofErr w:type="gramEnd"/>
            <w:r>
              <w:rPr>
                <w:rFonts w:ascii="IBM Plex Sans Light" w:hAnsi="IBM Plex Sans Light"/>
                <w:sz w:val="20"/>
                <w:szCs w:val="20"/>
              </w:rPr>
              <w:t xml:space="preserve"> Nginx server respectively.</w:t>
            </w:r>
          </w:p>
          <w:p w14:paraId="2B7FFF56" w14:textId="77777777" w:rsidR="00271C39" w:rsidRPr="00271C39" w:rsidRDefault="00271C39" w:rsidP="00271C39">
            <w:pPr>
              <w:pStyle w:val="ListParagraph"/>
              <w:rPr>
                <w:rFonts w:ascii="IBM Plex Sans Light" w:hAnsi="IBM Plex Sans Light"/>
                <w:sz w:val="20"/>
                <w:szCs w:val="20"/>
              </w:rPr>
            </w:pPr>
          </w:p>
          <w:p w14:paraId="7CB449CC" w14:textId="77777777" w:rsidR="00271C39" w:rsidRDefault="00271C39" w:rsidP="00271C39">
            <w:pPr>
              <w:rPr>
                <w:rFonts w:ascii="IBM Plex Sans Light" w:hAnsi="IBM Plex Sans Light"/>
                <w:sz w:val="20"/>
                <w:szCs w:val="20"/>
              </w:rPr>
            </w:pPr>
          </w:p>
          <w:p w14:paraId="0BCF2417" w14:textId="67E16DF7" w:rsidR="00271C39" w:rsidRPr="00271C39" w:rsidRDefault="00271C39" w:rsidP="00271C39">
            <w:pPr>
              <w:rPr>
                <w:rFonts w:ascii="IBM Plex Sans Light" w:hAnsi="IBM Plex Sans Light"/>
                <w:sz w:val="20"/>
                <w:szCs w:val="20"/>
              </w:rPr>
            </w:pPr>
            <w:r>
              <w:rPr>
                <w:rFonts w:ascii="IBM Plex Sans Light" w:hAnsi="IBM Plex Sans Light"/>
                <w:noProof/>
                <w:sz w:val="20"/>
                <w:szCs w:val="20"/>
              </w:rPr>
              <w:lastRenderedPageBreak/>
              <w:drawing>
                <wp:inline distT="0" distB="0" distL="0" distR="0" wp14:anchorId="4E449D9B" wp14:editId="009FA6A4">
                  <wp:extent cx="4381061" cy="4124779"/>
                  <wp:effectExtent l="0" t="0" r="635" b="3175"/>
                  <wp:docPr id="18822993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299302" name="Picture 1882299302"/>
                          <pic:cNvPicPr/>
                        </pic:nvPicPr>
                        <pic:blipFill>
                          <a:blip r:embed="rId5" cstate="print">
                            <a:extLst>
                              <a:ext uri="{28A0092B-C50C-407E-A947-70E740481C1C}">
                                <a14:useLocalDpi xmlns:a14="http://schemas.microsoft.com/office/drawing/2010/main" val="0"/>
                              </a:ext>
                            </a:extLst>
                          </a:blip>
                          <a:stretch>
                            <a:fillRect/>
                          </a:stretch>
                        </pic:blipFill>
                        <pic:spPr>
                          <a:xfrm>
                            <a:off x="0" y="0"/>
                            <a:ext cx="4427938" cy="4168914"/>
                          </a:xfrm>
                          <a:prstGeom prst="rect">
                            <a:avLst/>
                          </a:prstGeom>
                        </pic:spPr>
                      </pic:pic>
                    </a:graphicData>
                  </a:graphic>
                </wp:inline>
              </w:drawing>
            </w:r>
          </w:p>
          <w:p w14:paraId="19126F95" w14:textId="77777777" w:rsidR="004003F6" w:rsidRDefault="004003F6" w:rsidP="005659CA">
            <w:pPr>
              <w:rPr>
                <w:rFonts w:ascii="IBM Plex Sans Light" w:hAnsi="IBM Plex Sans Light"/>
                <w:sz w:val="20"/>
                <w:szCs w:val="20"/>
              </w:rPr>
            </w:pPr>
          </w:p>
          <w:p w14:paraId="47031617" w14:textId="77777777" w:rsidR="004003F6" w:rsidRDefault="004003F6" w:rsidP="005659CA">
            <w:pPr>
              <w:rPr>
                <w:rFonts w:ascii="IBM Plex Sans Light" w:hAnsi="IBM Plex Sans Light"/>
                <w:sz w:val="20"/>
                <w:szCs w:val="20"/>
              </w:rPr>
            </w:pPr>
          </w:p>
          <w:p w14:paraId="507614DE" w14:textId="77777777" w:rsidR="004003F6" w:rsidRDefault="004003F6" w:rsidP="005659CA">
            <w:pPr>
              <w:rPr>
                <w:rFonts w:ascii="IBM Plex Sans Light" w:hAnsi="IBM Plex Sans Light"/>
                <w:sz w:val="20"/>
                <w:szCs w:val="20"/>
              </w:rPr>
            </w:pPr>
          </w:p>
          <w:p w14:paraId="1860EC00" w14:textId="77777777" w:rsidR="004003F6" w:rsidRDefault="004003F6" w:rsidP="005659CA">
            <w:pPr>
              <w:rPr>
                <w:rFonts w:ascii="IBM Plex Sans Light" w:hAnsi="IBM Plex Sans Light"/>
                <w:sz w:val="20"/>
                <w:szCs w:val="20"/>
              </w:rPr>
            </w:pPr>
          </w:p>
          <w:p w14:paraId="06204CD6" w14:textId="28E28DFB" w:rsidR="004003F6" w:rsidRPr="00F11FCE" w:rsidRDefault="004003F6" w:rsidP="005659CA">
            <w:pPr>
              <w:rPr>
                <w:rFonts w:ascii="IBM Plex Sans Light" w:hAnsi="IBM Plex Sans Light"/>
                <w:sz w:val="20"/>
                <w:szCs w:val="20"/>
              </w:rPr>
            </w:pPr>
          </w:p>
        </w:tc>
      </w:tr>
      <w:tr w:rsidR="004003F6" w:rsidRPr="00F11FCE" w14:paraId="0DA735F9" w14:textId="77777777" w:rsidTr="00CB0F7D">
        <w:tc>
          <w:tcPr>
            <w:tcW w:w="9016" w:type="dxa"/>
            <w:gridSpan w:val="3"/>
          </w:tcPr>
          <w:p w14:paraId="144DF470" w14:textId="77777777" w:rsidR="004003F6" w:rsidRDefault="004003F6" w:rsidP="005659CA">
            <w:pPr>
              <w:rPr>
                <w:rFonts w:ascii="IBM Plex Sans Light" w:hAnsi="IBM Plex Sans Light"/>
                <w:sz w:val="20"/>
                <w:szCs w:val="20"/>
              </w:rPr>
            </w:pPr>
          </w:p>
        </w:tc>
      </w:tr>
    </w:tbl>
    <w:p w14:paraId="5345C876" w14:textId="77777777" w:rsidR="004003F6" w:rsidRDefault="004003F6" w:rsidP="00594ABA">
      <w:pPr>
        <w:spacing w:after="0" w:line="240" w:lineRule="auto"/>
        <w:rPr>
          <w:rFonts w:ascii="IBM Plex Sans Light" w:hAnsi="IBM Plex Sans Light"/>
        </w:rPr>
      </w:pPr>
    </w:p>
    <w:p w14:paraId="0F79C5B1" w14:textId="23935404" w:rsidR="00594ABA" w:rsidRDefault="00594ABA" w:rsidP="00594ABA">
      <w:pPr>
        <w:spacing w:after="0" w:line="240" w:lineRule="auto"/>
        <w:rPr>
          <w:rFonts w:ascii="IBM Plex Sans Light" w:hAnsi="IBM Plex Sans Light"/>
        </w:rPr>
      </w:pPr>
    </w:p>
    <w:p w14:paraId="605C74B0" w14:textId="77777777" w:rsidR="002A3D72" w:rsidRDefault="002A3D72" w:rsidP="00594ABA">
      <w:pPr>
        <w:spacing w:after="0" w:line="240" w:lineRule="auto"/>
        <w:rPr>
          <w:rFonts w:ascii="IBM Plex Sans Light" w:hAnsi="IBM Plex Sans Light"/>
        </w:rPr>
      </w:pPr>
    </w:p>
    <w:p w14:paraId="20A9C4C3" w14:textId="2EB5B3C8" w:rsidR="002A3D72" w:rsidRPr="00594ABA" w:rsidRDefault="002A3D72" w:rsidP="00594ABA">
      <w:pPr>
        <w:spacing w:after="0" w:line="240" w:lineRule="auto"/>
        <w:rPr>
          <w:rFonts w:ascii="IBM Plex Sans Light" w:hAnsi="IBM Plex Sans Light"/>
        </w:rPr>
      </w:pPr>
      <w:r>
        <w:rPr>
          <w:rFonts w:ascii="IBM Plex Sans Light" w:hAnsi="IBM Plex Sans Light"/>
        </w:rPr>
        <w:t xml:space="preserve">NOTE: By the time the “Review” phase of this Hackathon is begun, I would’ve left IBM as I have already resigned. I’ve been out of the AI game for </w:t>
      </w:r>
      <w:proofErr w:type="gramStart"/>
      <w:r>
        <w:rPr>
          <w:rFonts w:ascii="IBM Plex Sans Light" w:hAnsi="IBM Plex Sans Light"/>
        </w:rPr>
        <w:t>a number of</w:t>
      </w:r>
      <w:proofErr w:type="gramEnd"/>
      <w:r>
        <w:rPr>
          <w:rFonts w:ascii="IBM Plex Sans Light" w:hAnsi="IBM Plex Sans Light"/>
        </w:rPr>
        <w:t xml:space="preserve"> years and so participating in this hackathon proved a good learning experience for me.  Now, in the (extremely unlikely) event I win one of the prizes, please disregard and send the </w:t>
      </w:r>
      <w:proofErr w:type="spellStart"/>
      <w:r>
        <w:rPr>
          <w:rFonts w:ascii="IBM Plex Sans Light" w:hAnsi="IBM Plex Sans Light"/>
        </w:rPr>
        <w:t>BluePoints</w:t>
      </w:r>
      <w:proofErr w:type="spellEnd"/>
      <w:r>
        <w:rPr>
          <w:rFonts w:ascii="IBM Plex Sans Light" w:hAnsi="IBM Plex Sans Light"/>
        </w:rPr>
        <w:t xml:space="preserve"> to the “next in line” participant(s).</w:t>
      </w:r>
    </w:p>
    <w:sectPr w:rsidR="002A3D72" w:rsidRPr="00594A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IBM Plex Sans Light">
    <w:panose1 w:val="020B0403050203000203"/>
    <w:charset w:val="00"/>
    <w:family w:val="swiss"/>
    <w:notTrueType/>
    <w:pitch w:val="variable"/>
    <w:sig w:usb0="A00002EF" w:usb1="5000203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27517AC"/>
    <w:multiLevelType w:val="hybridMultilevel"/>
    <w:tmpl w:val="A3DCAF56"/>
    <w:lvl w:ilvl="0" w:tplc="93F80E70">
      <w:numFmt w:val="bullet"/>
      <w:lvlText w:val="-"/>
      <w:lvlJc w:val="left"/>
      <w:pPr>
        <w:ind w:left="720" w:hanging="360"/>
      </w:pPr>
      <w:rPr>
        <w:rFonts w:ascii="IBM Plex Sans Light" w:eastAsiaTheme="minorEastAsia" w:hAnsi="IBM Plex Sans Light" w:cstheme="minorBid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6985110"/>
    <w:multiLevelType w:val="hybridMultilevel"/>
    <w:tmpl w:val="01C423CE"/>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65D26E09"/>
    <w:multiLevelType w:val="hybridMultilevel"/>
    <w:tmpl w:val="4AFE8B80"/>
    <w:lvl w:ilvl="0" w:tplc="93F80E70">
      <w:numFmt w:val="bullet"/>
      <w:lvlText w:val="-"/>
      <w:lvlJc w:val="left"/>
      <w:pPr>
        <w:ind w:left="720" w:hanging="360"/>
      </w:pPr>
      <w:rPr>
        <w:rFonts w:ascii="IBM Plex Sans Light" w:eastAsiaTheme="minorEastAsia" w:hAnsi="IBM Plex Sans Light" w:cstheme="minorBid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8A00A89"/>
    <w:multiLevelType w:val="hybridMultilevel"/>
    <w:tmpl w:val="A74446A4"/>
    <w:lvl w:ilvl="0" w:tplc="93F80E70">
      <w:numFmt w:val="bullet"/>
      <w:lvlText w:val="-"/>
      <w:lvlJc w:val="left"/>
      <w:pPr>
        <w:ind w:left="720" w:hanging="360"/>
      </w:pPr>
      <w:rPr>
        <w:rFonts w:ascii="IBM Plex Sans Light" w:eastAsiaTheme="minorEastAsia" w:hAnsi="IBM Plex Sans Light" w:cstheme="minorBid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63820991">
    <w:abstractNumId w:val="2"/>
  </w:num>
  <w:num w:numId="2" w16cid:durableId="309211572">
    <w:abstractNumId w:val="1"/>
  </w:num>
  <w:num w:numId="3" w16cid:durableId="1083911790">
    <w:abstractNumId w:val="3"/>
  </w:num>
  <w:num w:numId="4" w16cid:durableId="3440966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ABA"/>
    <w:rsid w:val="00036EA4"/>
    <w:rsid w:val="000F26C5"/>
    <w:rsid w:val="001769F9"/>
    <w:rsid w:val="00271C39"/>
    <w:rsid w:val="002A3D72"/>
    <w:rsid w:val="002B2CC9"/>
    <w:rsid w:val="00302304"/>
    <w:rsid w:val="003262F2"/>
    <w:rsid w:val="003D687A"/>
    <w:rsid w:val="003E7EC5"/>
    <w:rsid w:val="004003F6"/>
    <w:rsid w:val="00400685"/>
    <w:rsid w:val="00422421"/>
    <w:rsid w:val="00496C8E"/>
    <w:rsid w:val="00511BA1"/>
    <w:rsid w:val="00594ABA"/>
    <w:rsid w:val="005B69CB"/>
    <w:rsid w:val="005C59F2"/>
    <w:rsid w:val="006A555E"/>
    <w:rsid w:val="007127B2"/>
    <w:rsid w:val="007233E8"/>
    <w:rsid w:val="007410BA"/>
    <w:rsid w:val="00856535"/>
    <w:rsid w:val="00886A19"/>
    <w:rsid w:val="00890105"/>
    <w:rsid w:val="00997FE4"/>
    <w:rsid w:val="00AD520D"/>
    <w:rsid w:val="00B244DF"/>
    <w:rsid w:val="00B31832"/>
    <w:rsid w:val="00B65504"/>
    <w:rsid w:val="00BC6BA0"/>
    <w:rsid w:val="00C148D4"/>
    <w:rsid w:val="00C549DA"/>
    <w:rsid w:val="00E60BA1"/>
    <w:rsid w:val="00F11FCE"/>
    <w:rsid w:val="00F570FA"/>
    <w:rsid w:val="00FD7614"/>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BEC3A00"/>
  <w15:chartTrackingRefBased/>
  <w15:docId w15:val="{F4AB8B3E-E8C3-774F-BA2F-9A3FC7F51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AU"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4A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94A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94A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94A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94A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94A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4A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4A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4A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4A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94A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94A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94A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94A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94A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4A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4A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4ABA"/>
    <w:rPr>
      <w:rFonts w:eastAsiaTheme="majorEastAsia" w:cstheme="majorBidi"/>
      <w:color w:val="272727" w:themeColor="text1" w:themeTint="D8"/>
    </w:rPr>
  </w:style>
  <w:style w:type="paragraph" w:styleId="Title">
    <w:name w:val="Title"/>
    <w:basedOn w:val="Normal"/>
    <w:next w:val="Normal"/>
    <w:link w:val="TitleChar"/>
    <w:uiPriority w:val="10"/>
    <w:qFormat/>
    <w:rsid w:val="00594A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4A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4A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4A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4ABA"/>
    <w:pPr>
      <w:spacing w:before="160"/>
      <w:jc w:val="center"/>
    </w:pPr>
    <w:rPr>
      <w:i/>
      <w:iCs/>
      <w:color w:val="404040" w:themeColor="text1" w:themeTint="BF"/>
    </w:rPr>
  </w:style>
  <w:style w:type="character" w:customStyle="1" w:styleId="QuoteChar">
    <w:name w:val="Quote Char"/>
    <w:basedOn w:val="DefaultParagraphFont"/>
    <w:link w:val="Quote"/>
    <w:uiPriority w:val="29"/>
    <w:rsid w:val="00594ABA"/>
    <w:rPr>
      <w:i/>
      <w:iCs/>
      <w:color w:val="404040" w:themeColor="text1" w:themeTint="BF"/>
    </w:rPr>
  </w:style>
  <w:style w:type="paragraph" w:styleId="ListParagraph">
    <w:name w:val="List Paragraph"/>
    <w:basedOn w:val="Normal"/>
    <w:uiPriority w:val="34"/>
    <w:qFormat/>
    <w:rsid w:val="00594ABA"/>
    <w:pPr>
      <w:ind w:left="720"/>
      <w:contextualSpacing/>
    </w:pPr>
  </w:style>
  <w:style w:type="character" w:styleId="IntenseEmphasis">
    <w:name w:val="Intense Emphasis"/>
    <w:basedOn w:val="DefaultParagraphFont"/>
    <w:uiPriority w:val="21"/>
    <w:qFormat/>
    <w:rsid w:val="00594ABA"/>
    <w:rPr>
      <w:i/>
      <w:iCs/>
      <w:color w:val="0F4761" w:themeColor="accent1" w:themeShade="BF"/>
    </w:rPr>
  </w:style>
  <w:style w:type="paragraph" w:styleId="IntenseQuote">
    <w:name w:val="Intense Quote"/>
    <w:basedOn w:val="Normal"/>
    <w:next w:val="Normal"/>
    <w:link w:val="IntenseQuoteChar"/>
    <w:uiPriority w:val="30"/>
    <w:qFormat/>
    <w:rsid w:val="00594A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94ABA"/>
    <w:rPr>
      <w:i/>
      <w:iCs/>
      <w:color w:val="0F4761" w:themeColor="accent1" w:themeShade="BF"/>
    </w:rPr>
  </w:style>
  <w:style w:type="character" w:styleId="IntenseReference">
    <w:name w:val="Intense Reference"/>
    <w:basedOn w:val="DefaultParagraphFont"/>
    <w:uiPriority w:val="32"/>
    <w:qFormat/>
    <w:rsid w:val="00594ABA"/>
    <w:rPr>
      <w:b/>
      <w:bCs/>
      <w:smallCaps/>
      <w:color w:val="0F4761" w:themeColor="accent1" w:themeShade="BF"/>
      <w:spacing w:val="5"/>
    </w:rPr>
  </w:style>
  <w:style w:type="table" w:styleId="TableGrid">
    <w:name w:val="Table Grid"/>
    <w:basedOn w:val="TableNormal"/>
    <w:uiPriority w:val="39"/>
    <w:rsid w:val="00F11F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6</Pages>
  <Words>1378</Words>
  <Characters>7861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CHAN</dc:creator>
  <cp:keywords/>
  <dc:description/>
  <cp:lastModifiedBy>Marwan Attar</cp:lastModifiedBy>
  <cp:revision>3</cp:revision>
  <dcterms:created xsi:type="dcterms:W3CDTF">2025-02-12T07:18:00Z</dcterms:created>
  <dcterms:modified xsi:type="dcterms:W3CDTF">2025-02-12T07:28:00Z</dcterms:modified>
</cp:coreProperties>
</file>