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475AFDD5" w:rsidR="001109BF" w:rsidRPr="002D777F" w:rsidRDefault="00BC12FF" w:rsidP="002D777F">
      <w:pPr>
        <w:tabs>
          <w:tab w:val="left" w:pos="1134"/>
          <w:tab w:val="left" w:pos="2268"/>
        </w:tabs>
        <w:spacing w:after="0" w:line="360" w:lineRule="auto"/>
        <w:ind w:left="-426"/>
        <w:jc w:val="center"/>
        <w:rPr>
          <w:rFonts w:ascii="Arial" w:eastAsia="Times New Roman" w:hAnsi="Arial" w:cs="Arial"/>
          <w:sz w:val="28"/>
          <w:szCs w:val="20"/>
          <w:lang w:eastAsia="de-DE"/>
        </w:rPr>
      </w:pPr>
      <w:r>
        <w:rPr>
          <w:rFonts w:ascii="Arial" w:eastAsia="Times New Roman" w:hAnsi="Arial"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4379D8B2"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t>5620331, 3225750, 1790705, 9269794</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6DF1874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lastRenderedPageBreak/>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3B6135F4" w14:textId="436949CA" w:rsidR="004A254B" w:rsidRPr="00917899" w:rsidRDefault="002652E8">
          <w:pPr>
            <w:pStyle w:val="Verzeichnis1"/>
            <w:tabs>
              <w:tab w:val="left" w:pos="440"/>
              <w:tab w:val="right" w:leader="dot" w:pos="9062"/>
            </w:tabs>
            <w:rPr>
              <w:rFonts w:ascii="Arial" w:hAnsi="Arial" w:cs="Arial"/>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398962" w:history="1">
            <w:r w:rsidR="004A254B" w:rsidRPr="00917899">
              <w:rPr>
                <w:rStyle w:val="Hyperlink"/>
                <w:rFonts w:ascii="Arial" w:hAnsi="Arial" w:cs="Arial"/>
                <w:noProof/>
              </w:rPr>
              <w:t>1</w:t>
            </w:r>
            <w:r w:rsidR="004A254B" w:rsidRPr="00917899">
              <w:rPr>
                <w:rFonts w:ascii="Arial" w:hAnsi="Arial" w:cs="Arial"/>
                <w:noProof/>
              </w:rPr>
              <w:tab/>
            </w:r>
            <w:r w:rsidR="004A254B" w:rsidRPr="00917899">
              <w:rPr>
                <w:rStyle w:val="Hyperlink"/>
                <w:rFonts w:ascii="Arial" w:hAnsi="Arial" w:cs="Arial"/>
                <w:noProof/>
              </w:rPr>
              <w:t>Einleitung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_Toc25398962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1B5FA8C9" w14:textId="23882F9C" w:rsidR="004A254B" w:rsidRPr="00917899" w:rsidRDefault="00DB230B">
          <w:pPr>
            <w:pStyle w:val="Verzeichnis1"/>
            <w:tabs>
              <w:tab w:val="left" w:pos="440"/>
              <w:tab w:val="right" w:leader="dot" w:pos="9062"/>
            </w:tabs>
            <w:rPr>
              <w:rFonts w:ascii="Arial" w:hAnsi="Arial" w:cs="Arial"/>
              <w:noProof/>
            </w:rPr>
          </w:pPr>
          <w:hyperlink w:anchor="_Toc25398963" w:history="1">
            <w:r w:rsidR="004A254B" w:rsidRPr="00917899">
              <w:rPr>
                <w:rStyle w:val="Hyperlink"/>
                <w:rFonts w:ascii="Arial" w:hAnsi="Arial" w:cs="Arial"/>
                <w:noProof/>
              </w:rPr>
              <w:t>2</w:t>
            </w:r>
            <w:r w:rsidR="004A254B" w:rsidRPr="00917899">
              <w:rPr>
                <w:rFonts w:ascii="Arial" w:hAnsi="Arial" w:cs="Arial"/>
                <w:noProof/>
              </w:rPr>
              <w:tab/>
            </w:r>
            <w:r w:rsidR="004A254B" w:rsidRPr="00917899">
              <w:rPr>
                <w:rStyle w:val="Hyperlink"/>
                <w:rFonts w:ascii="Arial" w:hAnsi="Arial" w:cs="Arial"/>
                <w:noProof/>
              </w:rPr>
              <w:t>Anforderungsliste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_Toc25398963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3FDAE403" w14:textId="4E5F83D1" w:rsidR="004A254B" w:rsidRPr="00917899" w:rsidRDefault="00DB230B">
          <w:pPr>
            <w:pStyle w:val="Verzeichnis1"/>
            <w:tabs>
              <w:tab w:val="left" w:pos="440"/>
              <w:tab w:val="right" w:leader="dot" w:pos="9062"/>
            </w:tabs>
            <w:rPr>
              <w:rFonts w:ascii="Arial" w:hAnsi="Arial" w:cs="Arial"/>
              <w:noProof/>
            </w:rPr>
          </w:pPr>
          <w:hyperlink w:anchor="_Toc25398964" w:history="1">
            <w:r w:rsidR="004A254B" w:rsidRPr="00917899">
              <w:rPr>
                <w:rStyle w:val="Hyperlink"/>
                <w:rFonts w:ascii="Arial" w:hAnsi="Arial" w:cs="Arial"/>
                <w:noProof/>
              </w:rPr>
              <w:t>3</w:t>
            </w:r>
            <w:r w:rsidR="004A254B" w:rsidRPr="00917899">
              <w:rPr>
                <w:rFonts w:ascii="Arial" w:hAnsi="Arial" w:cs="Arial"/>
                <w:noProof/>
              </w:rPr>
              <w:tab/>
            </w:r>
            <w:r w:rsidR="004A254B" w:rsidRPr="00917899">
              <w:rPr>
                <w:rStyle w:val="Hyperlink"/>
                <w:rFonts w:ascii="Arial" w:hAnsi="Arial" w:cs="Arial"/>
                <w:noProof/>
              </w:rPr>
              <w:t>Paarweiser-Vergleich</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_Toc25398964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B6A1B62" w14:textId="1B01140B" w:rsidR="004A254B" w:rsidRPr="00917899" w:rsidRDefault="00DB230B">
          <w:pPr>
            <w:pStyle w:val="Verzeichnis1"/>
            <w:tabs>
              <w:tab w:val="left" w:pos="440"/>
              <w:tab w:val="right" w:leader="dot" w:pos="9062"/>
            </w:tabs>
            <w:rPr>
              <w:rFonts w:ascii="Arial" w:hAnsi="Arial" w:cs="Arial"/>
              <w:noProof/>
            </w:rPr>
          </w:pPr>
          <w:hyperlink w:anchor="_Toc25398965" w:history="1">
            <w:r w:rsidR="004A254B" w:rsidRPr="00917899">
              <w:rPr>
                <w:rStyle w:val="Hyperlink"/>
                <w:rFonts w:ascii="Arial" w:hAnsi="Arial" w:cs="Arial"/>
                <w:noProof/>
              </w:rPr>
              <w:t>4</w:t>
            </w:r>
            <w:r w:rsidR="004A254B" w:rsidRPr="00917899">
              <w:rPr>
                <w:rFonts w:ascii="Arial" w:hAnsi="Arial" w:cs="Arial"/>
                <w:noProof/>
              </w:rPr>
              <w:tab/>
            </w:r>
            <w:r w:rsidR="004A254B" w:rsidRPr="00917899">
              <w:rPr>
                <w:rStyle w:val="Hyperlink"/>
                <w:rFonts w:ascii="Arial" w:hAnsi="Arial" w:cs="Arial"/>
                <w:noProof/>
              </w:rPr>
              <w:t>T-Tabelle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_Toc25398965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0A965B4" w14:textId="1A3BC699" w:rsidR="004A254B" w:rsidRPr="00917899" w:rsidRDefault="00DB230B">
          <w:pPr>
            <w:pStyle w:val="Verzeichnis1"/>
            <w:tabs>
              <w:tab w:val="left" w:pos="440"/>
              <w:tab w:val="right" w:leader="dot" w:pos="9062"/>
            </w:tabs>
            <w:rPr>
              <w:rFonts w:ascii="Arial" w:hAnsi="Arial" w:cs="Arial"/>
              <w:noProof/>
            </w:rPr>
          </w:pPr>
          <w:hyperlink w:anchor="_Toc25398966" w:history="1">
            <w:r w:rsidR="004A254B" w:rsidRPr="00917899">
              <w:rPr>
                <w:rStyle w:val="Hyperlink"/>
                <w:rFonts w:ascii="Arial" w:hAnsi="Arial" w:cs="Arial"/>
                <w:noProof/>
              </w:rPr>
              <w:t>5</w:t>
            </w:r>
            <w:r w:rsidR="004A254B" w:rsidRPr="00917899">
              <w:rPr>
                <w:rFonts w:ascii="Arial" w:hAnsi="Arial" w:cs="Arial"/>
                <w:noProof/>
              </w:rPr>
              <w:tab/>
            </w:r>
            <w:r w:rsidR="004A254B" w:rsidRPr="00917899">
              <w:rPr>
                <w:rStyle w:val="Hyperlink"/>
                <w:rFonts w:ascii="Arial" w:hAnsi="Arial" w:cs="Arial"/>
                <w:noProof/>
              </w:rPr>
              <w:t>House of Quality</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_Toc25398966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DAF81D5" w14:textId="2ACF5632" w:rsidR="004A254B" w:rsidRPr="00917899" w:rsidRDefault="00DB230B">
          <w:pPr>
            <w:pStyle w:val="Verzeichnis1"/>
            <w:tabs>
              <w:tab w:val="left" w:pos="440"/>
              <w:tab w:val="right" w:leader="dot" w:pos="9062"/>
            </w:tabs>
            <w:rPr>
              <w:rFonts w:ascii="Arial" w:hAnsi="Arial" w:cs="Arial"/>
              <w:noProof/>
            </w:rPr>
          </w:pPr>
          <w:hyperlink w:anchor="_Toc25398967" w:history="1">
            <w:r w:rsidR="004A254B" w:rsidRPr="00917899">
              <w:rPr>
                <w:rStyle w:val="Hyperlink"/>
                <w:rFonts w:ascii="Arial" w:hAnsi="Arial" w:cs="Arial"/>
                <w:noProof/>
              </w:rPr>
              <w:t>6</w:t>
            </w:r>
            <w:r w:rsidR="004A254B" w:rsidRPr="00917899">
              <w:rPr>
                <w:rFonts w:ascii="Arial" w:hAnsi="Arial" w:cs="Arial"/>
                <w:noProof/>
              </w:rPr>
              <w:tab/>
            </w:r>
            <w:r w:rsidR="004A254B" w:rsidRPr="00917899">
              <w:rPr>
                <w:rStyle w:val="Hyperlink"/>
                <w:rFonts w:ascii="Arial" w:hAnsi="Arial" w:cs="Arial"/>
                <w:noProof/>
              </w:rPr>
              <w:t>CE-Risikobeurteilung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_Toc25398967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1114A13F" w14:textId="560F6CE4" w:rsidR="004A254B" w:rsidRPr="00917899" w:rsidRDefault="00DB230B">
          <w:pPr>
            <w:pStyle w:val="Verzeichnis1"/>
            <w:tabs>
              <w:tab w:val="left" w:pos="440"/>
              <w:tab w:val="right" w:leader="dot" w:pos="9062"/>
            </w:tabs>
            <w:rPr>
              <w:rFonts w:ascii="Arial" w:hAnsi="Arial" w:cs="Arial"/>
              <w:noProof/>
            </w:rPr>
          </w:pPr>
          <w:hyperlink w:anchor="_Toc25398968" w:history="1">
            <w:r w:rsidR="004A254B" w:rsidRPr="00917899">
              <w:rPr>
                <w:rStyle w:val="Hyperlink"/>
                <w:rFonts w:ascii="Arial" w:hAnsi="Arial" w:cs="Arial"/>
                <w:noProof/>
              </w:rPr>
              <w:t>7</w:t>
            </w:r>
            <w:r w:rsidR="004A254B" w:rsidRPr="00917899">
              <w:rPr>
                <w:rFonts w:ascii="Arial" w:hAnsi="Arial" w:cs="Arial"/>
                <w:noProof/>
              </w:rPr>
              <w:tab/>
            </w:r>
            <w:r w:rsidR="004A254B" w:rsidRPr="00917899">
              <w:rPr>
                <w:rStyle w:val="Hyperlink"/>
                <w:rFonts w:ascii="Arial" w:hAnsi="Arial" w:cs="Arial"/>
                <w:noProof/>
              </w:rPr>
              <w:t>Fazit</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_Toc25398968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42C507B" w14:textId="5F7AB1B2"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77777777" w:rsidR="004A254B" w:rsidRPr="004A254B" w:rsidRDefault="004A254B">
          <w:pPr>
            <w:rPr>
              <w:rFonts w:ascii="Arial" w:hAnsi="Arial" w:cs="Arial"/>
              <w:sz w:val="24"/>
              <w:szCs w:val="24"/>
            </w:rPr>
          </w:pPr>
          <w:r w:rsidRPr="004A254B">
            <w:rPr>
              <w:rFonts w:ascii="Arial" w:hAnsi="Arial" w:cs="Arial"/>
              <w:sz w:val="24"/>
              <w:szCs w:val="24"/>
            </w:rPr>
            <w:t>T-Tabelle</w:t>
          </w:r>
        </w:p>
        <w:p w14:paraId="2F8E9F77" w14:textId="137C3E09" w:rsid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20648DBA" w14:textId="43DAB910" w:rsidR="00DB230B" w:rsidRPr="004A254B" w:rsidRDefault="00DB230B">
          <w:pPr>
            <w:rPr>
              <w:rFonts w:ascii="Arial" w:hAnsi="Arial" w:cs="Arial"/>
              <w:sz w:val="24"/>
              <w:szCs w:val="24"/>
            </w:rPr>
          </w:pPr>
          <w:r>
            <w:rPr>
              <w:rFonts w:ascii="Arial" w:hAnsi="Arial" w:cs="Arial"/>
              <w:sz w:val="24"/>
              <w:szCs w:val="24"/>
            </w:rPr>
            <w:t>-Datenblätter Wettbewerber</w:t>
          </w:r>
          <w:bookmarkStart w:id="2" w:name="_GoBack"/>
          <w:bookmarkEnd w:id="2"/>
        </w:p>
        <w:p w14:paraId="170E334E" w14:textId="3BA65118" w:rsidR="002652E8" w:rsidRPr="004A254B" w:rsidRDefault="004A254B">
          <w:pPr>
            <w:rPr>
              <w:rFonts w:ascii="Arial" w:hAnsi="Arial" w:cs="Arial"/>
              <w:b/>
              <w:bCs/>
              <w:sz w:val="24"/>
              <w:szCs w:val="24"/>
            </w:rPr>
          </w:pPr>
          <w:r w:rsidRPr="004A254B">
            <w:rPr>
              <w:rFonts w:ascii="Arial" w:hAnsi="Arial" w:cs="Arial"/>
              <w:sz w:val="24"/>
              <w:szCs w:val="24"/>
            </w:rPr>
            <w:t>CE-Risikobeurteilung</w:t>
          </w:r>
        </w:p>
      </w:sdtContent>
    </w:sdt>
    <w:p w14:paraId="3CF7C9AA" w14:textId="77777777" w:rsidR="004A254B" w:rsidRDefault="004A254B">
      <w:pPr>
        <w:rPr>
          <w:rFonts w:ascii="Arial" w:eastAsiaTheme="majorEastAsia" w:hAnsi="Arial" w:cs="Arial"/>
          <w:sz w:val="32"/>
          <w:szCs w:val="32"/>
          <w:lang w:eastAsia="de-DE"/>
        </w:rPr>
      </w:pPr>
      <w:bookmarkStart w:id="3" w:name="_Toc25398962"/>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r w:rsidRPr="002D777F">
        <w:rPr>
          <w:rFonts w:cs="Arial"/>
          <w:lang w:eastAsia="de-DE"/>
        </w:rPr>
        <w:lastRenderedPageBreak/>
        <w:t>Einleitung</w:t>
      </w:r>
      <w:bookmarkEnd w:id="3"/>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4" w:name="_Toc25398963"/>
      <w:r w:rsidRPr="002652E8">
        <w:rPr>
          <w:rFonts w:cs="Arial"/>
          <w:lang w:eastAsia="de-DE"/>
        </w:rPr>
        <w:t>Anforderungsliste</w:t>
      </w:r>
      <w:bookmarkEnd w:id="4"/>
    </w:p>
    <w:p w14:paraId="6BD1BD63" w14:textId="2763E215"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 ob es sich um eine Basisanforderung (Forderung) oder um eine Begeisterungs- oder Qualitätsanforderung (Wunsch) nach dem Kano-Modell handelt.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54DD3997" w14:textId="0412523E" w:rsidR="00C34A75" w:rsidRDefault="00C34A75" w:rsidP="00076AAA">
      <w:pPr>
        <w:spacing w:after="0" w:line="360" w:lineRule="auto"/>
        <w:jc w:val="both"/>
      </w:pPr>
    </w:p>
    <w:p w14:paraId="38EEA177" w14:textId="5A85BA78" w:rsidR="00C34A75" w:rsidRPr="00C34A75" w:rsidRDefault="00C34A75" w:rsidP="00C34A75">
      <w:pPr>
        <w:pStyle w:val="berschrift1"/>
        <w:spacing w:line="360" w:lineRule="auto"/>
        <w:jc w:val="both"/>
        <w:rPr>
          <w:rFonts w:cs="Arial"/>
          <w:lang w:eastAsia="de-DE"/>
        </w:rPr>
      </w:pPr>
      <w:r w:rsidRPr="00C34A75">
        <w:rPr>
          <w:rFonts w:cs="Arial"/>
          <w:lang w:eastAsia="de-DE"/>
        </w:rPr>
        <w:t>Kano</w:t>
      </w:r>
      <w:r>
        <w:rPr>
          <w:rFonts w:cs="Arial"/>
          <w:lang w:eastAsia="de-DE"/>
        </w:rPr>
        <w:t>-M</w:t>
      </w:r>
      <w:r w:rsidRPr="00C34A75">
        <w:rPr>
          <w:rFonts w:cs="Arial"/>
          <w:lang w:eastAsia="de-DE"/>
        </w:rPr>
        <w:t>odell</w:t>
      </w:r>
    </w:p>
    <w:p w14:paraId="58268391" w14:textId="356D5D0A" w:rsidR="00C34A75" w:rsidRPr="00C34A75" w:rsidRDefault="00D9411A" w:rsidP="00C34A75">
      <w:pPr>
        <w:rPr>
          <w:lang w:eastAsia="de-DE"/>
        </w:rPr>
      </w:pPr>
      <w:r w:rsidRPr="00D9411A">
        <w:drawing>
          <wp:inline distT="0" distB="0" distL="0" distR="0" wp14:anchorId="4F304972" wp14:editId="474F987B">
            <wp:extent cx="5760720" cy="63820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82049"/>
                    </a:xfrm>
                    <a:prstGeom prst="rect">
                      <a:avLst/>
                    </a:prstGeom>
                    <a:noFill/>
                    <a:ln>
                      <a:noFill/>
                    </a:ln>
                  </pic:spPr>
                </pic:pic>
              </a:graphicData>
            </a:graphic>
          </wp:inline>
        </w:drawing>
      </w:r>
    </w:p>
    <w:p w14:paraId="49DA0A7B" w14:textId="045CC12E" w:rsidR="00C4072A" w:rsidRDefault="00C4072A" w:rsidP="002D777F">
      <w:pPr>
        <w:pStyle w:val="berschrift1"/>
        <w:spacing w:line="360" w:lineRule="auto"/>
        <w:jc w:val="both"/>
        <w:rPr>
          <w:rFonts w:cs="Arial"/>
          <w:lang w:eastAsia="de-DE"/>
        </w:rPr>
      </w:pPr>
      <w:bookmarkStart w:id="5" w:name="_Toc25398964"/>
      <w:r w:rsidRPr="002D777F">
        <w:rPr>
          <w:rFonts w:cs="Arial"/>
          <w:lang w:eastAsia="de-DE"/>
        </w:rPr>
        <w:lastRenderedPageBreak/>
        <w:t>Paarweiser</w:t>
      </w:r>
      <w:r w:rsidR="000D42A3">
        <w:rPr>
          <w:rFonts w:cs="Arial"/>
          <w:lang w:eastAsia="de-DE"/>
        </w:rPr>
        <w:t xml:space="preserve"> </w:t>
      </w:r>
      <w:r w:rsidRPr="002D777F">
        <w:rPr>
          <w:rFonts w:cs="Arial"/>
          <w:lang w:eastAsia="de-DE"/>
        </w:rPr>
        <w:t>Vergleich</w:t>
      </w:r>
      <w:bookmarkEnd w:id="5"/>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6" w:name="_Toc25398965"/>
      <w:r w:rsidRPr="00824B41">
        <w:rPr>
          <w:rFonts w:cs="Arial"/>
          <w:lang w:eastAsia="de-DE"/>
        </w:rPr>
        <w:t>T-Tabelle</w:t>
      </w:r>
      <w:bookmarkEnd w:id="6"/>
    </w:p>
    <w:p w14:paraId="565372D7" w14:textId="702A80D4" w:rsidR="00E5013B" w:rsidRPr="00194489"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10ACAE29" w14:textId="774E65F5" w:rsidR="004A254B" w:rsidRDefault="004A254B" w:rsidP="004A254B">
      <w:pPr>
        <w:pStyle w:val="berschrift1"/>
        <w:rPr>
          <w:lang w:eastAsia="de-DE"/>
        </w:rPr>
      </w:pPr>
      <w:bookmarkStart w:id="7" w:name="_Toc25398966"/>
      <w:r>
        <w:rPr>
          <w:lang w:eastAsia="de-DE"/>
        </w:rPr>
        <w:t xml:space="preserve">House </w:t>
      </w:r>
      <w:proofErr w:type="spellStart"/>
      <w:r>
        <w:rPr>
          <w:lang w:eastAsia="de-DE"/>
        </w:rPr>
        <w:t>of</w:t>
      </w:r>
      <w:proofErr w:type="spellEnd"/>
      <w:r>
        <w:rPr>
          <w:lang w:eastAsia="de-DE"/>
        </w:rPr>
        <w:t xml:space="preserve"> Quality</w:t>
      </w:r>
      <w:bookmarkEnd w:id="7"/>
    </w:p>
    <w:p w14:paraId="15AA728D" w14:textId="46F95015" w:rsidR="009E3882" w:rsidRDefault="009E3882" w:rsidP="009E3882">
      <w:pPr>
        <w:rPr>
          <w:lang w:eastAsia="de-DE"/>
        </w:rPr>
      </w:pPr>
    </w:p>
    <w:p w14:paraId="5869A134" w14:textId="64570F18" w:rsidR="00AE2DAE" w:rsidRDefault="00AE2DAE" w:rsidP="00AE2DAE">
      <w:pPr>
        <w:spacing w:line="360" w:lineRule="auto"/>
        <w:jc w:val="both"/>
        <w:rPr>
          <w:rFonts w:ascii="Arial" w:hAnsi="Arial" w:cs="Arial"/>
          <w:sz w:val="24"/>
          <w:szCs w:val="24"/>
          <w:lang w:eastAsia="de-DE"/>
        </w:rPr>
      </w:pPr>
      <w:r>
        <w:rPr>
          <w:rFonts w:ascii="Arial" w:hAnsi="Arial" w:cs="Arial"/>
          <w:sz w:val="24"/>
          <w:szCs w:val="24"/>
          <w:lang w:eastAsia="de-DE"/>
        </w:rPr>
        <w:t xml:space="preserve">Im House </w:t>
      </w:r>
      <w:proofErr w:type="spellStart"/>
      <w:r>
        <w:rPr>
          <w:rFonts w:ascii="Arial" w:hAnsi="Arial" w:cs="Arial"/>
          <w:sz w:val="24"/>
          <w:szCs w:val="24"/>
          <w:lang w:eastAsia="de-DE"/>
        </w:rPr>
        <w:t>of</w:t>
      </w:r>
      <w:proofErr w:type="spellEnd"/>
      <w:r>
        <w:rPr>
          <w:rFonts w:ascii="Arial" w:hAnsi="Arial" w:cs="Arial"/>
          <w:sz w:val="24"/>
          <w:szCs w:val="24"/>
          <w:lang w:eastAsia="de-DE"/>
        </w:rPr>
        <w:t xml:space="preserve"> Quality werden die einzelnen Schritte der QFD dokumentiert.</w:t>
      </w:r>
    </w:p>
    <w:p w14:paraId="19F8B065" w14:textId="7AEAEBD9" w:rsidR="00AE2DAE" w:rsidRPr="00AE2DAE" w:rsidRDefault="00AE2DAE" w:rsidP="00AE2DAE">
      <w:pPr>
        <w:spacing w:line="360" w:lineRule="auto"/>
        <w:jc w:val="both"/>
        <w:rPr>
          <w:rFonts w:ascii="Arial" w:hAnsi="Arial" w:cs="Arial"/>
          <w:sz w:val="24"/>
          <w:szCs w:val="24"/>
          <w:lang w:eastAsia="de-DE"/>
        </w:rPr>
      </w:pPr>
      <w:r w:rsidRPr="00AE2DAE">
        <w:rPr>
          <w:rFonts w:ascii="Arial" w:hAnsi="Arial" w:cs="Arial"/>
          <w:sz w:val="24"/>
          <w:szCs w:val="24"/>
          <w:lang w:eastAsia="de-DE"/>
        </w:rPr>
        <w:t xml:space="preserve">Quality </w:t>
      </w:r>
      <w:proofErr w:type="spellStart"/>
      <w:r w:rsidRPr="00AE2DAE">
        <w:rPr>
          <w:rFonts w:ascii="Arial" w:hAnsi="Arial" w:cs="Arial"/>
          <w:sz w:val="24"/>
          <w:szCs w:val="24"/>
          <w:lang w:eastAsia="de-DE"/>
        </w:rPr>
        <w:t>Function</w:t>
      </w:r>
      <w:proofErr w:type="spellEnd"/>
      <w:r w:rsidRPr="00AE2DAE">
        <w:rPr>
          <w:rFonts w:ascii="Arial" w:hAnsi="Arial" w:cs="Arial"/>
          <w:sz w:val="24"/>
          <w:szCs w:val="24"/>
          <w:lang w:eastAsia="de-DE"/>
        </w:rPr>
        <w:t xml:space="preserve"> </w:t>
      </w:r>
      <w:proofErr w:type="spellStart"/>
      <w:r w:rsidRPr="00AE2DAE">
        <w:rPr>
          <w:rFonts w:ascii="Arial" w:hAnsi="Arial" w:cs="Arial"/>
          <w:sz w:val="24"/>
          <w:szCs w:val="24"/>
          <w:lang w:eastAsia="de-DE"/>
        </w:rPr>
        <w:t>Deployment</w:t>
      </w:r>
      <w:proofErr w:type="spellEnd"/>
      <w:r w:rsidRPr="00AE2DAE">
        <w:rPr>
          <w:rFonts w:ascii="Arial" w:hAnsi="Arial" w:cs="Arial"/>
          <w:sz w:val="24"/>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173F5F72" w:rsidR="009E3882" w:rsidRDefault="009E3882" w:rsidP="00AE2DAE">
      <w:pPr>
        <w:spacing w:line="360" w:lineRule="auto"/>
        <w:jc w:val="both"/>
        <w:rPr>
          <w:rFonts w:ascii="Arial" w:hAnsi="Arial" w:cs="Arial"/>
          <w:sz w:val="24"/>
          <w:szCs w:val="24"/>
          <w:lang w:eastAsia="de-DE"/>
        </w:rPr>
      </w:pPr>
      <w:r w:rsidRPr="009E3882">
        <w:rPr>
          <w:rFonts w:ascii="Arial" w:hAnsi="Arial" w:cs="Arial"/>
          <w:sz w:val="24"/>
          <w:szCs w:val="24"/>
          <w:lang w:eastAsia="de-DE"/>
        </w:rPr>
        <w:t>Quality:</w:t>
      </w:r>
      <w:r>
        <w:rPr>
          <w:rFonts w:ascii="Arial" w:hAnsi="Arial" w:cs="Arial"/>
          <w:sz w:val="24"/>
          <w:szCs w:val="24"/>
          <w:lang w:eastAsia="de-DE"/>
        </w:rPr>
        <w:t xml:space="preserve"> </w:t>
      </w:r>
      <w:r w:rsidRPr="009E3882">
        <w:rPr>
          <w:rFonts w:ascii="Arial" w:hAnsi="Arial" w:cs="Arial"/>
          <w:sz w:val="24"/>
          <w:szCs w:val="24"/>
          <w:lang w:eastAsia="de-DE"/>
        </w:rPr>
        <w:t xml:space="preserve">Instrumentarium zur kundengerechten Planung und Entwicklung Von Qualitätsmerkmalen </w:t>
      </w:r>
    </w:p>
    <w:p w14:paraId="13F2A44A" w14:textId="561DD09D" w:rsidR="009E3882" w:rsidRP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Function</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Sicherung der Q-Merkmale Durch interdisziplinäre Zusammenarbeit im ganzen Unternehmen</w:t>
      </w:r>
    </w:p>
    <w:p w14:paraId="65820CB2" w14:textId="00F6F0CF" w:rsid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Deployment</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„Truppen in Stellung bringen “ (Bündelung der Kräfte) um die Q</w:t>
      </w:r>
      <w:r>
        <w:rPr>
          <w:rFonts w:ascii="Arial" w:hAnsi="Arial" w:cs="Arial"/>
          <w:sz w:val="24"/>
          <w:szCs w:val="24"/>
          <w:lang w:eastAsia="de-DE"/>
        </w:rPr>
        <w:t>-</w:t>
      </w:r>
      <w:r w:rsidRPr="009E3882">
        <w:rPr>
          <w:rFonts w:ascii="Arial" w:hAnsi="Arial" w:cs="Arial"/>
          <w:sz w:val="24"/>
          <w:szCs w:val="24"/>
          <w:lang w:eastAsia="de-DE"/>
        </w:rPr>
        <w:t>Ziel3 auf allen Ebenen zu erreichen.</w:t>
      </w:r>
    </w:p>
    <w:p w14:paraId="290A4418" w14:textId="02DB040D" w:rsidR="00AE2DAE" w:rsidRDefault="009E3882" w:rsidP="00AE2DAE">
      <w:pPr>
        <w:spacing w:after="0" w:line="360" w:lineRule="auto"/>
        <w:jc w:val="both"/>
        <w:rPr>
          <w:rFonts w:ascii="Arial" w:hAnsi="Arial" w:cs="Arial"/>
          <w:sz w:val="24"/>
          <w:szCs w:val="24"/>
          <w:lang w:eastAsia="de-DE"/>
        </w:rPr>
      </w:pPr>
      <w:r>
        <w:rPr>
          <w:rFonts w:ascii="Arial" w:hAnsi="Arial" w:cs="Arial"/>
          <w:sz w:val="24"/>
          <w:szCs w:val="24"/>
          <w:lang w:eastAsia="de-DE"/>
        </w:rPr>
        <w:lastRenderedPageBreak/>
        <w:t xml:space="preserve">Zu </w:t>
      </w:r>
      <w:r w:rsidR="00AE2DAE">
        <w:rPr>
          <w:rFonts w:ascii="Arial" w:hAnsi="Arial" w:cs="Arial"/>
          <w:sz w:val="24"/>
          <w:szCs w:val="24"/>
          <w:lang w:eastAsia="de-DE"/>
        </w:rPr>
        <w:t>B</w:t>
      </w:r>
      <w:r>
        <w:rPr>
          <w:rFonts w:ascii="Arial" w:hAnsi="Arial" w:cs="Arial"/>
          <w:sz w:val="24"/>
          <w:szCs w:val="24"/>
          <w:lang w:eastAsia="de-DE"/>
        </w:rPr>
        <w:t xml:space="preserve">eginn werden die Kundenanforderungen gesammelt (paarweiser vergleich). Diese werden nach dem </w:t>
      </w:r>
      <w:r w:rsidR="00AE2DAE">
        <w:rPr>
          <w:rFonts w:ascii="Arial" w:hAnsi="Arial" w:cs="Arial"/>
          <w:sz w:val="24"/>
          <w:szCs w:val="24"/>
          <w:lang w:eastAsia="de-DE"/>
        </w:rPr>
        <w:t xml:space="preserve">Ergebnis des </w:t>
      </w:r>
      <w:r>
        <w:rPr>
          <w:rFonts w:ascii="Arial" w:hAnsi="Arial" w:cs="Arial"/>
          <w:sz w:val="24"/>
          <w:szCs w:val="24"/>
          <w:lang w:eastAsia="de-DE"/>
        </w:rPr>
        <w:t xml:space="preserve">Paarweisen Vergleich gewichtet. </w:t>
      </w:r>
      <w:r w:rsidR="00AE2DAE">
        <w:rPr>
          <w:rFonts w:ascii="Arial" w:hAnsi="Arial" w:cs="Arial"/>
          <w:sz w:val="24"/>
          <w:szCs w:val="24"/>
          <w:lang w:eastAsia="de-DE"/>
        </w:rPr>
        <w:t>Außerdem wird d</w:t>
      </w:r>
      <w:r>
        <w:rPr>
          <w:rFonts w:ascii="Arial" w:hAnsi="Arial" w:cs="Arial"/>
          <w:sz w:val="24"/>
          <w:szCs w:val="24"/>
          <w:lang w:eastAsia="de-DE"/>
        </w:rPr>
        <w:t xml:space="preserve">as Produkt mit Wettbewerbsprodukten und Vorgängerprodukten Verglichen. </w:t>
      </w:r>
      <w:r w:rsidR="00AE2DAE">
        <w:rPr>
          <w:rFonts w:ascii="Arial" w:hAnsi="Arial" w:cs="Arial"/>
          <w:sz w:val="24"/>
          <w:szCs w:val="24"/>
          <w:lang w:eastAsia="de-DE"/>
        </w:rPr>
        <w:t xml:space="preserve">Daraus </w:t>
      </w:r>
      <w:r>
        <w:rPr>
          <w:rFonts w:ascii="Arial" w:hAnsi="Arial" w:cs="Arial"/>
          <w:sz w:val="24"/>
          <w:szCs w:val="24"/>
          <w:lang w:eastAsia="de-DE"/>
        </w:rPr>
        <w:t>erkennt</w:t>
      </w:r>
      <w:r w:rsidR="00AE2DAE">
        <w:rPr>
          <w:rFonts w:ascii="Arial" w:hAnsi="Arial" w:cs="Arial"/>
          <w:sz w:val="24"/>
          <w:szCs w:val="24"/>
          <w:lang w:eastAsia="de-DE"/>
        </w:rPr>
        <w:t xml:space="preserve"> man</w:t>
      </w:r>
      <w:r>
        <w:rPr>
          <w:rFonts w:ascii="Arial" w:hAnsi="Arial" w:cs="Arial"/>
          <w:sz w:val="24"/>
          <w:szCs w:val="24"/>
          <w:lang w:eastAsia="de-DE"/>
        </w:rPr>
        <w:t xml:space="preserve"> die Erfüllung der Kundenanforderungen. </w:t>
      </w:r>
      <w:r w:rsidR="00AE2DAE">
        <w:rPr>
          <w:rFonts w:ascii="Arial" w:hAnsi="Arial" w:cs="Arial"/>
          <w:sz w:val="24"/>
          <w:szCs w:val="24"/>
          <w:lang w:eastAsia="de-DE"/>
        </w:rPr>
        <w:t xml:space="preserve">Nach der Auswertung erkennt man die Beziehungen des Produkts </w:t>
      </w:r>
      <w:r w:rsidR="00335702">
        <w:rPr>
          <w:rFonts w:ascii="Arial" w:hAnsi="Arial" w:cs="Arial"/>
          <w:sz w:val="24"/>
          <w:szCs w:val="24"/>
          <w:lang w:eastAsia="de-DE"/>
        </w:rPr>
        <w:t xml:space="preserve">mit den </w:t>
      </w:r>
      <w:r w:rsidR="00AE2DAE">
        <w:rPr>
          <w:rFonts w:ascii="Arial" w:hAnsi="Arial" w:cs="Arial"/>
          <w:sz w:val="24"/>
          <w:szCs w:val="24"/>
          <w:lang w:eastAsia="de-DE"/>
        </w:rPr>
        <w:t>Kosten, Komplexität, Herstellerfahren und das Lösen der Probleme.</w:t>
      </w:r>
    </w:p>
    <w:p w14:paraId="7580C50A" w14:textId="1C60C73D" w:rsidR="004A254B" w:rsidRDefault="004A254B" w:rsidP="004A254B">
      <w:pPr>
        <w:pStyle w:val="berschrift1"/>
        <w:rPr>
          <w:lang w:eastAsia="de-DE"/>
        </w:rPr>
      </w:pPr>
      <w:bookmarkStart w:id="8" w:name="_Toc25398967"/>
      <w:r>
        <w:rPr>
          <w:lang w:eastAsia="de-DE"/>
        </w:rPr>
        <w:t>CE-Risikobeurteilung</w:t>
      </w:r>
      <w:bookmarkEnd w:id="8"/>
    </w:p>
    <w:p w14:paraId="47C83C90" w14:textId="77777777" w:rsidR="009B4FD3" w:rsidRPr="009B4FD3" w:rsidRDefault="009B4FD3" w:rsidP="009B4FD3">
      <w:pPr>
        <w:rPr>
          <w:lang w:eastAsia="de-DE"/>
        </w:rPr>
      </w:pPr>
    </w:p>
    <w:p w14:paraId="23EB4072" w14:textId="7F23BA71"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Mit der CE-Kennzeichnung erklärt der Hersteller, Inverkehrbringer oder EU-Bevollmächtigte gemäß EU-Verordnung 765/2008, „dass das Produkt den geltenden Anforderungen genügt, die in den Harmonisierungsrechtsvorschriften der Gemeinschaft über ihre Anbringung festgelegt sind.“</w:t>
      </w:r>
    </w:p>
    <w:p w14:paraId="18B48FF1" w14:textId="77777777" w:rsidR="009B4FD3" w:rsidRDefault="009B4FD3" w:rsidP="009B4FD3">
      <w:pPr>
        <w:spacing w:after="0" w:line="360" w:lineRule="auto"/>
        <w:jc w:val="both"/>
        <w:rPr>
          <w:rFonts w:ascii="Arial" w:hAnsi="Arial" w:cs="Arial"/>
          <w:sz w:val="24"/>
          <w:szCs w:val="24"/>
          <w:lang w:eastAsia="de-DE"/>
        </w:rPr>
      </w:pPr>
    </w:p>
    <w:p w14:paraId="1E617B7B" w14:textId="3DA2A6F1"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CE-Kennzeichnung gelten in Europa einheitliche sicherheitstechnische Bestimmungen für unterschiedlichste Produkte.</w:t>
      </w:r>
    </w:p>
    <w:p w14:paraId="2E7BA466" w14:textId="77777777"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Kennzeichnung in Kombination mit der Konformitätserklärung bestätigt der Hersteller, dass alle auf das Produkt zutreffenden CE-Vorschriften erfüllt wurden.</w:t>
      </w:r>
    </w:p>
    <w:p w14:paraId="05523407" w14:textId="77777777" w:rsidR="009B4FD3" w:rsidRPr="009B4FD3" w:rsidRDefault="009B4FD3" w:rsidP="009B4FD3">
      <w:pPr>
        <w:spacing w:after="0" w:line="360" w:lineRule="auto"/>
        <w:jc w:val="both"/>
        <w:rPr>
          <w:rFonts w:ascii="Arial" w:hAnsi="Arial" w:cs="Arial"/>
          <w:sz w:val="24"/>
          <w:szCs w:val="24"/>
          <w:lang w:eastAsia="de-DE"/>
        </w:rPr>
      </w:pPr>
    </w:p>
    <w:p w14:paraId="064EC205" w14:textId="3CF64575" w:rsidR="00C4072A" w:rsidRDefault="004A254B" w:rsidP="004A254B">
      <w:pPr>
        <w:pStyle w:val="berschrift1"/>
        <w:rPr>
          <w:lang w:eastAsia="de-DE"/>
        </w:rPr>
      </w:pPr>
      <w:bookmarkStart w:id="9" w:name="_Toc25398968"/>
      <w:r>
        <w:rPr>
          <w:lang w:eastAsia="de-DE"/>
        </w:rPr>
        <w:t>Fazit</w:t>
      </w:r>
      <w:bookmarkEnd w:id="9"/>
    </w:p>
    <w:p w14:paraId="4ED37212" w14:textId="20CBEAD7" w:rsidR="009E3882" w:rsidRDefault="009E3882" w:rsidP="009E3882">
      <w:pPr>
        <w:rPr>
          <w:lang w:eastAsia="de-DE"/>
        </w:rPr>
      </w:pPr>
    </w:p>
    <w:p w14:paraId="49FD0CD3" w14:textId="77777777" w:rsidR="009E3882" w:rsidRPr="009E3882" w:rsidRDefault="009E3882" w:rsidP="009E3882">
      <w:pPr>
        <w:rPr>
          <w:lang w:eastAsia="de-DE"/>
        </w:rPr>
      </w:pPr>
    </w:p>
    <w:sectPr w:rsidR="009E3882" w:rsidRPr="009E3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D777F"/>
    <w:rsid w:val="00335702"/>
    <w:rsid w:val="00372E99"/>
    <w:rsid w:val="00383DB9"/>
    <w:rsid w:val="004A254B"/>
    <w:rsid w:val="00501555"/>
    <w:rsid w:val="0060656D"/>
    <w:rsid w:val="00824B41"/>
    <w:rsid w:val="00917899"/>
    <w:rsid w:val="0093461D"/>
    <w:rsid w:val="009B4FD3"/>
    <w:rsid w:val="009E3882"/>
    <w:rsid w:val="00AE2DAE"/>
    <w:rsid w:val="00BC12FF"/>
    <w:rsid w:val="00C34A75"/>
    <w:rsid w:val="00C4072A"/>
    <w:rsid w:val="00C62EC0"/>
    <w:rsid w:val="00CA4F7E"/>
    <w:rsid w:val="00CB32AC"/>
    <w:rsid w:val="00D9411A"/>
    <w:rsid w:val="00DB230B"/>
    <w:rsid w:val="00E5013B"/>
    <w:rsid w:val="00EB71F8"/>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61A51-7C2B-49B0-898A-DEAD6BBD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6874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16</cp:revision>
  <dcterms:created xsi:type="dcterms:W3CDTF">2019-11-20T16:03:00Z</dcterms:created>
  <dcterms:modified xsi:type="dcterms:W3CDTF">2019-11-29T09:50:00Z</dcterms:modified>
</cp:coreProperties>
</file>