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F035596"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67F89EA8"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187D0940" w:rsidR="00CB61D3" w:rsidRDefault="003F1211" w:rsidP="002D777F">
            <w:pPr>
              <w:tabs>
                <w:tab w:val="left" w:pos="1134"/>
                <w:tab w:val="left" w:pos="2268"/>
              </w:tabs>
              <w:spacing w:after="0"/>
              <w:rPr>
                <w:rFonts w:eastAsia="Times New Roman" w:cs="Arial"/>
                <w:szCs w:val="20"/>
                <w:lang w:eastAsia="de-DE"/>
              </w:rPr>
            </w:pPr>
            <w:r>
              <w:rPr>
                <w:rFonts w:eastAsia="Times New Roman" w:cs="Arial"/>
                <w:szCs w:val="20"/>
                <w:lang w:eastAsia="de-DE"/>
              </w:rPr>
              <w:t>5620331</w:t>
            </w: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3D839026" w:rsidR="00CB61D3" w:rsidRPr="003F1211" w:rsidRDefault="003F1211" w:rsidP="002D777F">
            <w:pPr>
              <w:tabs>
                <w:tab w:val="left" w:pos="1134"/>
                <w:tab w:val="left" w:pos="2268"/>
              </w:tabs>
              <w:spacing w:after="0"/>
              <w:rPr>
                <w:rFonts w:eastAsia="Times New Roman" w:cs="Arial"/>
                <w:iCs/>
                <w:lang w:eastAsia="de-DE"/>
              </w:rPr>
            </w:pPr>
            <w:r w:rsidRPr="003F1211">
              <w:rPr>
                <w:rFonts w:eastAsia="Times New Roman" w:cs="Arial"/>
                <w:iCs/>
                <w:lang w:eastAsia="de-DE"/>
              </w:rPr>
              <w:t>1790705</w:t>
            </w: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4D871469" w:rsidR="001109BF" w:rsidRPr="003F1211" w:rsidRDefault="003F1211" w:rsidP="003F1211">
            <w:pPr>
              <w:tabs>
                <w:tab w:val="left" w:pos="1134"/>
                <w:tab w:val="left" w:pos="2268"/>
              </w:tabs>
              <w:autoSpaceDE w:val="0"/>
              <w:autoSpaceDN w:val="0"/>
              <w:adjustRightInd w:val="0"/>
              <w:spacing w:after="0"/>
              <w:jc w:val="left"/>
              <w:rPr>
                <w:rFonts w:eastAsia="Times New Roman" w:cs="Arial"/>
                <w:iCs/>
                <w:lang w:eastAsia="de-DE"/>
              </w:rPr>
            </w:pPr>
            <w:bookmarkStart w:id="1" w:name="_Hlk25161939"/>
            <w:bookmarkEnd w:id="0"/>
            <w:r w:rsidRPr="003F1211">
              <w:rPr>
                <w:rFonts w:eastAsia="Times New Roman" w:cs="Arial"/>
                <w:iCs/>
                <w:lang w:eastAsia="de-DE"/>
              </w:rPr>
              <w:t>9269794</w:t>
            </w:r>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r w:rsidR="00F10F5C" w:rsidRPr="002D777F" w14:paraId="1D30F7D1" w14:textId="77777777" w:rsidTr="00D06917">
        <w:trPr>
          <w:trHeight w:val="85"/>
        </w:trPr>
        <w:tc>
          <w:tcPr>
            <w:tcW w:w="9072" w:type="dxa"/>
          </w:tcPr>
          <w:p w14:paraId="1D31DE7C" w14:textId="77777777" w:rsidR="00F10F5C" w:rsidRPr="002D777F" w:rsidRDefault="00F10F5C" w:rsidP="00D06917">
            <w:pPr>
              <w:tabs>
                <w:tab w:val="left" w:pos="1134"/>
                <w:tab w:val="left" w:pos="2268"/>
              </w:tabs>
              <w:autoSpaceDE w:val="0"/>
              <w:autoSpaceDN w:val="0"/>
              <w:adjustRightInd w:val="0"/>
              <w:spacing w:after="0"/>
              <w:rPr>
                <w:rFonts w:eastAsia="Times New Roman" w:cs="Arial"/>
                <w:b/>
                <w:i/>
                <w:iCs/>
                <w:sz w:val="28"/>
                <w:szCs w:val="28"/>
                <w:lang w:eastAsia="de-DE"/>
              </w:rPr>
            </w:pPr>
            <w:bookmarkStart w:id="2" w:name="_GoBack"/>
            <w:bookmarkEnd w:id="2"/>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198C2293" w:rsidR="007926FA" w:rsidRDefault="00B51C5E">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B51C5E">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B51C5E">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B51C5E">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B51C5E">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B51C5E">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B51C5E">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B51C5E">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B51C5E">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3" w:name="_Toc26131587"/>
      <w:r w:rsidRPr="002D777F">
        <w:rPr>
          <w:rFonts w:cs="Arial"/>
          <w:lang w:eastAsia="de-DE"/>
        </w:rPr>
        <w:lastRenderedPageBreak/>
        <w:t>Einleitung</w:t>
      </w:r>
      <w:bookmarkEnd w:id="3"/>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4" w:name="_Toc26131588"/>
      <w:r w:rsidRPr="002652E8">
        <w:rPr>
          <w:rFonts w:cs="Arial"/>
          <w:lang w:eastAsia="de-DE"/>
        </w:rPr>
        <w:lastRenderedPageBreak/>
        <w:t>Anforderungsliste</w:t>
      </w:r>
      <w:bookmarkEnd w:id="4"/>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5" w:name="_Toc26131589"/>
      <w:r w:rsidRPr="0029793F">
        <w:rPr>
          <w:lang w:eastAsia="de-DE"/>
        </w:rPr>
        <w:lastRenderedPageBreak/>
        <w:t>FMEA</w:t>
      </w:r>
      <w:bookmarkEnd w:id="5"/>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6" w:name="_Toc26131590"/>
      <w:r w:rsidRPr="00D3222F">
        <w:rPr>
          <w:rFonts w:cs="Arial"/>
          <w:lang w:eastAsia="de-DE"/>
        </w:rPr>
        <w:t>Betrachtungsumfang</w:t>
      </w:r>
      <w:bookmarkEnd w:id="6"/>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7" w:name="_Toc26131591"/>
      <w:r w:rsidRPr="00D3222F">
        <w:rPr>
          <w:rFonts w:cs="Arial"/>
          <w:lang w:eastAsia="de-DE"/>
        </w:rPr>
        <w:t>Strukturanalyse</w:t>
      </w:r>
      <w:bookmarkEnd w:id="7"/>
    </w:p>
    <w:p w14:paraId="01C10947" w14:textId="1157DF62" w:rsidR="00E31C91" w:rsidRPr="00E31C91" w:rsidRDefault="00E31C91" w:rsidP="00E31C91">
      <w:pPr>
        <w:rPr>
          <w:lang w:eastAsia="de-DE"/>
        </w:rPr>
      </w:pPr>
      <w:r>
        <w:rPr>
          <w:lang w:eastAsia="de-DE"/>
        </w:rPr>
        <w:t xml:space="preserve">Die Strukturanalyse dient dazu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8" w:name="_Toc26131592"/>
      <w:r w:rsidRPr="00D3222F">
        <w:rPr>
          <w:rFonts w:cs="Arial"/>
          <w:lang w:eastAsia="de-DE"/>
        </w:rPr>
        <w:t>Vorsel</w:t>
      </w:r>
      <w:r>
        <w:rPr>
          <w:rFonts w:cs="Arial"/>
          <w:lang w:eastAsia="de-DE"/>
        </w:rPr>
        <w:t>ek</w:t>
      </w:r>
      <w:r w:rsidRPr="00D3222F">
        <w:rPr>
          <w:rFonts w:cs="Arial"/>
          <w:lang w:eastAsia="de-DE"/>
        </w:rPr>
        <w:t>tion</w:t>
      </w:r>
      <w:bookmarkEnd w:id="8"/>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9" w:name="_Toc26131593"/>
      <w:r>
        <w:rPr>
          <w:lang w:eastAsia="de-DE"/>
        </w:rPr>
        <w:lastRenderedPageBreak/>
        <w:t>Kano-Modell</w:t>
      </w:r>
      <w:bookmarkEnd w:id="9"/>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10" w:name="_Toc26131594"/>
      <w:r>
        <w:t>Paarweiser Vergleich</w:t>
      </w:r>
      <w:bookmarkEnd w:id="10"/>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Zahlenwerten (2 = wichtiger, 1 = gleich wichtig, 0 = weniger wichtig) wird die Summe </w:t>
      </w:r>
      <w:r>
        <w:rPr>
          <w:rFonts w:cs="Arial"/>
          <w:szCs w:val="24"/>
          <w:lang w:eastAsia="de-DE"/>
        </w:rPr>
        <w:lastRenderedPageBreak/>
        <w:t>sowie ein normierter Faktor gebildet. Die zehn Spezifikationen mit den höchsten normierten Faktoren und damit höchster Priorität werden in die T-Tabelle übernommen, in der sie weiter bewertet werden.</w:t>
      </w:r>
    </w:p>
    <w:p w14:paraId="15B086DD" w14:textId="1E7C2189" w:rsidR="00F46BD5" w:rsidRDefault="00F46BD5" w:rsidP="00F46BD5">
      <w:pPr>
        <w:pStyle w:val="berschrift3"/>
        <w:rPr>
          <w:lang w:eastAsia="de-DE"/>
        </w:rPr>
      </w:pPr>
      <w:bookmarkStart w:id="11" w:name="_Toc26131595"/>
      <w:r>
        <w:rPr>
          <w:lang w:eastAsia="de-DE"/>
        </w:rPr>
        <w:t>T-Tabelle</w:t>
      </w:r>
      <w:bookmarkEnd w:id="11"/>
    </w:p>
    <w:p w14:paraId="533EBDE3" w14:textId="77777777" w:rsidR="00F46BD5" w:rsidRDefault="00F46BD5" w:rsidP="00F46BD5">
      <w:pPr>
        <w:rPr>
          <w:rFonts w:cs="Arial"/>
          <w:szCs w:val="24"/>
          <w:lang w:eastAsia="de-DE"/>
        </w:rPr>
      </w:pPr>
      <w:r w:rsidRPr="00194489">
        <w:rPr>
          <w:rFonts w:cs="Arial"/>
          <w:szCs w:val="24"/>
          <w:lang w:eastAsia="de-DE"/>
        </w:rPr>
        <w:t xml:space="preserve">In der T-Tabelle werden zunächst die wichtigsten variablen Anforderungen im Vergleich zu den in der Konstruktion vorhandenen Funktionen betrachtet. Eine Funktion ist eine zu erfüllende Aufgabe des Gesamtsystems. </w:t>
      </w:r>
      <w:r>
        <w:rPr>
          <w:rFonts w:cs="Arial"/>
          <w:szCs w:val="24"/>
          <w:lang w:eastAsia="de-DE"/>
        </w:rPr>
        <w:t>Anschließend wird analysiert, welche Auswirkung eine Funktion auf die Spezifikation hat.</w:t>
      </w:r>
    </w:p>
    <w:p w14:paraId="503D5E09" w14:textId="772CB697" w:rsidR="00D3222F" w:rsidRDefault="00D3222F" w:rsidP="006E3ED5">
      <w:pPr>
        <w:pStyle w:val="berschrift2"/>
        <w:spacing w:after="240"/>
        <w:rPr>
          <w:rFonts w:cs="Arial"/>
          <w:lang w:eastAsia="de-DE"/>
        </w:rPr>
      </w:pPr>
      <w:bookmarkStart w:id="12" w:name="_Toc26131596"/>
      <w:r w:rsidRPr="00D3222F">
        <w:rPr>
          <w:rFonts w:cs="Arial"/>
          <w:lang w:eastAsia="de-DE"/>
        </w:rPr>
        <w:t>Funktionsanalyse</w:t>
      </w:r>
      <w:bookmarkEnd w:id="12"/>
    </w:p>
    <w:p w14:paraId="0965C6C7" w14:textId="6B8477A1" w:rsidR="00D3222F" w:rsidRPr="00F46BD5" w:rsidRDefault="00D3222F" w:rsidP="00D3222F">
      <w:pPr>
        <w:rPr>
          <w:color w:val="FF0000"/>
          <w:lang w:eastAsia="de-DE"/>
        </w:rPr>
      </w:pPr>
      <w:r w:rsidRPr="00F46BD5">
        <w:rPr>
          <w:color w:val="FF0000"/>
          <w:lang w:eastAsia="de-DE"/>
        </w:rPr>
        <w:t>1-4 Matthias</w:t>
      </w:r>
    </w:p>
    <w:p w14:paraId="2B7C7669" w14:textId="73A74FDB" w:rsidR="00D3222F" w:rsidRDefault="00D3222F" w:rsidP="006E3ED5">
      <w:pPr>
        <w:pStyle w:val="berschrift2"/>
        <w:spacing w:after="240"/>
        <w:rPr>
          <w:rFonts w:cs="Arial"/>
          <w:lang w:eastAsia="de-DE"/>
        </w:rPr>
      </w:pPr>
      <w:bookmarkStart w:id="13" w:name="_Toc26131597"/>
      <w:r w:rsidRPr="00D3222F">
        <w:rPr>
          <w:rFonts w:cs="Arial"/>
          <w:lang w:eastAsia="de-DE"/>
        </w:rPr>
        <w:t>Fehleranalyse</w:t>
      </w:r>
      <w:bookmarkEnd w:id="13"/>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4" w:name="_Toc26131598"/>
      <w:r w:rsidRPr="00D3222F">
        <w:rPr>
          <w:rFonts w:cs="Arial"/>
          <w:lang w:eastAsia="de-DE"/>
        </w:rPr>
        <w:t>Risikobewertung</w:t>
      </w:r>
      <w:bookmarkEnd w:id="14"/>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w:t>
      </w:r>
      <w:r w:rsidRPr="008051AD">
        <w:rPr>
          <w:rFonts w:cs="Arial"/>
          <w:szCs w:val="24"/>
          <w:lang w:eastAsia="de-DE"/>
        </w:rPr>
        <w:lastRenderedPageBreak/>
        <w:t xml:space="preserve">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5" w:name="_Toc26131599"/>
      <w:r w:rsidRPr="00D3222F">
        <w:rPr>
          <w:rFonts w:cs="Arial"/>
          <w:lang w:eastAsia="de-DE"/>
        </w:rPr>
        <w:t>Optimierung</w:t>
      </w:r>
      <w:bookmarkEnd w:id="15"/>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w:t>
      </w:r>
      <w:r>
        <w:rPr>
          <w:rFonts w:cs="Arial"/>
          <w:szCs w:val="24"/>
          <w:lang w:eastAsia="de-DE"/>
        </w:rPr>
        <w:lastRenderedPageBreak/>
        <w:t xml:space="preserve">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6"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6"/>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7"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7"/>
    </w:p>
    <w:p w14:paraId="23EB4072" w14:textId="4D632FF2" w:rsidR="009B4FD3" w:rsidRPr="00CF3714"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p>
    <w:p w14:paraId="1E617B7B" w14:textId="4E39E85E" w:rsidR="009B4FD3" w:rsidRPr="009B4FD3" w:rsidRDefault="00CF3714" w:rsidP="00F70A78">
      <w:pPr>
        <w:rPr>
          <w:lang w:eastAsia="de-DE"/>
        </w:rPr>
      </w:pPr>
      <w:r>
        <w:rPr>
          <w:lang w:eastAsia="de-DE"/>
        </w:rPr>
        <w:t xml:space="preserve">Somit </w:t>
      </w:r>
      <w:r w:rsidR="009B4FD3" w:rsidRPr="009B4FD3">
        <w:rPr>
          <w:lang w:eastAsia="de-DE"/>
        </w:rPr>
        <w:t>gelten in Europa einheitliche sicherheitstechnische Bestimmungen für unterschiedlichste Produkte.</w:t>
      </w:r>
    </w:p>
    <w:p w14:paraId="2E7BA466" w14:textId="77777777" w:rsidR="009B4FD3" w:rsidRP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F70A78">
      <w:pPr>
        <w:rPr>
          <w:lang w:eastAsia="de-DE"/>
        </w:rPr>
      </w:pPr>
      <w:r w:rsidRPr="009B4FD3">
        <w:rPr>
          <w:lang w:eastAsia="de-DE"/>
        </w:rPr>
        <w:t>Durch die Kennzeichnung in Kombination mit der Konformitätserklärung bestätigt der Hersteller,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8" w:name="_Toc26131602"/>
      <w:r>
        <w:rPr>
          <w:lang w:eastAsia="de-DE"/>
        </w:rPr>
        <w:lastRenderedPageBreak/>
        <w:t>Fazit</w:t>
      </w:r>
      <w:bookmarkEnd w:id="18"/>
    </w:p>
    <w:p w14:paraId="041315CE" w14:textId="3F78BC7F"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p>
    <w:p w14:paraId="38284889" w14:textId="643B66A1" w:rsidR="00B72B1C" w:rsidRPr="004278ED"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unterschiede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B72B1C">
        <w:rPr>
          <w:lang w:eastAsia="de-DE"/>
        </w:rPr>
        <w:t xml:space="preserve">. </w:t>
      </w:r>
    </w:p>
    <w:sectPr w:rsidR="00B72B1C"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815EA" w14:textId="77777777" w:rsidR="00B51C5E" w:rsidRDefault="00B51C5E" w:rsidP="00D06917">
      <w:pPr>
        <w:spacing w:after="0" w:line="240" w:lineRule="auto"/>
      </w:pPr>
      <w:r>
        <w:separator/>
      </w:r>
    </w:p>
  </w:endnote>
  <w:endnote w:type="continuationSeparator" w:id="0">
    <w:p w14:paraId="0D6F3B11" w14:textId="77777777" w:rsidR="00B51C5E" w:rsidRDefault="00B51C5E"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A922D" w14:textId="77777777" w:rsidR="00B51C5E" w:rsidRDefault="00B51C5E" w:rsidP="00D06917">
      <w:pPr>
        <w:spacing w:after="0" w:line="240" w:lineRule="auto"/>
      </w:pPr>
      <w:r>
        <w:separator/>
      </w:r>
    </w:p>
  </w:footnote>
  <w:footnote w:type="continuationSeparator" w:id="0">
    <w:p w14:paraId="4202E174" w14:textId="77777777" w:rsidR="00B51C5E" w:rsidRDefault="00B51C5E"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94489"/>
    <w:rsid w:val="0024739C"/>
    <w:rsid w:val="002652E8"/>
    <w:rsid w:val="0029793F"/>
    <w:rsid w:val="002C0E2C"/>
    <w:rsid w:val="002D777F"/>
    <w:rsid w:val="00335702"/>
    <w:rsid w:val="00372E99"/>
    <w:rsid w:val="00383DB9"/>
    <w:rsid w:val="003F1211"/>
    <w:rsid w:val="003F4AF3"/>
    <w:rsid w:val="004278ED"/>
    <w:rsid w:val="004A254B"/>
    <w:rsid w:val="00501555"/>
    <w:rsid w:val="005261FF"/>
    <w:rsid w:val="00585957"/>
    <w:rsid w:val="0060656D"/>
    <w:rsid w:val="006B0C77"/>
    <w:rsid w:val="006E3ED5"/>
    <w:rsid w:val="007628D9"/>
    <w:rsid w:val="00771D0B"/>
    <w:rsid w:val="007926FA"/>
    <w:rsid w:val="008051AD"/>
    <w:rsid w:val="008219AA"/>
    <w:rsid w:val="008232F8"/>
    <w:rsid w:val="00824B41"/>
    <w:rsid w:val="00917899"/>
    <w:rsid w:val="0093461D"/>
    <w:rsid w:val="00981C2F"/>
    <w:rsid w:val="009B4FD3"/>
    <w:rsid w:val="009B5421"/>
    <w:rsid w:val="009E3882"/>
    <w:rsid w:val="00A038B3"/>
    <w:rsid w:val="00AE2DAE"/>
    <w:rsid w:val="00B51C5E"/>
    <w:rsid w:val="00B72B1C"/>
    <w:rsid w:val="00BB1B98"/>
    <w:rsid w:val="00BC12FF"/>
    <w:rsid w:val="00BF3368"/>
    <w:rsid w:val="00C01DFB"/>
    <w:rsid w:val="00C34A75"/>
    <w:rsid w:val="00C4072A"/>
    <w:rsid w:val="00C62EC0"/>
    <w:rsid w:val="00CA4F7E"/>
    <w:rsid w:val="00CB32AC"/>
    <w:rsid w:val="00CB61D3"/>
    <w:rsid w:val="00CF3714"/>
    <w:rsid w:val="00D00046"/>
    <w:rsid w:val="00D06917"/>
    <w:rsid w:val="00D3222F"/>
    <w:rsid w:val="00D9411A"/>
    <w:rsid w:val="00DB230B"/>
    <w:rsid w:val="00E31C91"/>
    <w:rsid w:val="00E5013B"/>
    <w:rsid w:val="00EB71F8"/>
    <w:rsid w:val="00EE7A80"/>
    <w:rsid w:val="00F105DA"/>
    <w:rsid w:val="00F10F5C"/>
    <w:rsid w:val="00F4137D"/>
    <w:rsid w:val="00F46BD5"/>
    <w:rsid w:val="00F47423"/>
    <w:rsid w:val="00F70A78"/>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46BD5"/>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46BD5"/>
    <w:rPr>
      <w:rFonts w:ascii="Arial" w:eastAsiaTheme="majorEastAsia" w:hAnsi="Arial"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E0E4-E833-4020-BD8D-088DCF0A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2336</Words>
  <Characters>14718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36</cp:revision>
  <dcterms:created xsi:type="dcterms:W3CDTF">2019-11-20T16:03:00Z</dcterms:created>
  <dcterms:modified xsi:type="dcterms:W3CDTF">2019-12-02T15:09:00Z</dcterms:modified>
</cp:coreProperties>
</file>