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94B" w:rsidRDefault="005C4227" w:rsidP="005C4227">
      <w:pPr>
        <w:pStyle w:val="Titel"/>
      </w:pPr>
      <w:r>
        <w:t>Trommel</w:t>
      </w:r>
    </w:p>
    <w:p w:rsidR="005C4227" w:rsidRDefault="005C4227" w:rsidP="005C4227">
      <w:pPr>
        <w:pStyle w:val="berschrift1"/>
      </w:pPr>
      <w:r>
        <w:t>Variante A – Trommel auf Welle geschweißt</w:t>
      </w:r>
    </w:p>
    <w:p w:rsidR="005C4227" w:rsidRDefault="005C4227" w:rsidP="005C4227">
      <w:pPr>
        <w:pStyle w:val="berschrift2"/>
      </w:pPr>
      <w:r>
        <w:t>Berechnung der vorliegenden Spannungen (=reine Torsion)</w:t>
      </w:r>
    </w:p>
    <w:p w:rsidR="005C4227" w:rsidRDefault="0031651D" w:rsidP="005C4227">
      <w:r>
        <w:t>Zur Berechnung der vorhandenen Torsionsspannung wurde die unten stehende Formel aus dem Manuskript „Konstruktionslehre II“ von Prof. Dr.-Ing. Hansgeorg Binz (Stuttgart, 2010</w:t>
      </w:r>
      <w:r w:rsidR="008578A0">
        <w:t xml:space="preserve">) entnommen. Die Formeln finden sich auf den Seiten 8-13 und 8-15. </w:t>
      </w:r>
    </w:p>
    <w:p w:rsidR="005C4227" w:rsidRPr="008578A0" w:rsidRDefault="00E77904" w:rsidP="005C4227">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vorh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sSub>
                <m:sSubPr>
                  <m:ctrlPr>
                    <w:rPr>
                      <w:rFonts w:ascii="Cambria Math" w:hAnsi="Cambria Math"/>
                      <w:i/>
                    </w:rPr>
                  </m:ctrlPr>
                </m:sSubPr>
                <m:e>
                  <m:r>
                    <w:rPr>
                      <w:rFonts w:ascii="Cambria Math" w:hAnsi="Cambria Math"/>
                    </w:rPr>
                    <m:t>W</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f>
                <m:fPr>
                  <m:ctrlPr>
                    <w:rPr>
                      <w:rFonts w:ascii="Cambria Math" w:hAnsi="Cambria Math"/>
                      <w:i/>
                    </w:rPr>
                  </m:ctrlPr>
                </m:fPr>
                <m:num>
                  <m:r>
                    <w:rPr>
                      <w:rFonts w:ascii="Cambria Math" w:hAnsi="Cambria Math"/>
                    </w:rPr>
                    <m:t>π</m:t>
                  </m:r>
                </m:num>
                <m:den>
                  <m:r>
                    <w:rPr>
                      <w:rFonts w:ascii="Cambria Math" w:hAnsi="Cambria Math"/>
                    </w:rPr>
                    <m:t>16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+2∙a)</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4</m:t>
                      </m:r>
                    </m:sup>
                  </m:sSubSup>
                </m:num>
                <m:den>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+2∙a</m:t>
                  </m:r>
                </m:den>
              </m:f>
            </m:den>
          </m:f>
          <m:r>
            <w:rPr>
              <w:rFonts w:ascii="Cambria Math" w:eastAsiaTheme="minorEastAsia" w:hAnsi="Cambria Math"/>
            </w:rPr>
            <m:t>=</m:t>
          </m:r>
          <m:f>
            <m:fPr>
              <m:ctrlPr>
                <w:rPr>
                  <w:rFonts w:ascii="Cambria Math" w:hAnsi="Cambria Math"/>
                  <w:i/>
                </w:rPr>
              </m:ctrlPr>
            </m:fPr>
            <m:num>
              <m:r>
                <w:rPr>
                  <w:rFonts w:ascii="Cambria Math" w:hAnsi="Cambria Math"/>
                </w:rPr>
                <m:t>240000Nmm</m:t>
              </m:r>
            </m:num>
            <m:den>
              <m:f>
                <m:fPr>
                  <m:ctrlPr>
                    <w:rPr>
                      <w:rFonts w:ascii="Cambria Math" w:hAnsi="Cambria Math"/>
                      <w:i/>
                    </w:rPr>
                  </m:ctrlPr>
                </m:fPr>
                <m:num>
                  <m:r>
                    <w:rPr>
                      <w:rFonts w:ascii="Cambria Math" w:hAnsi="Cambria Math"/>
                    </w:rPr>
                    <m:t>π</m:t>
                  </m:r>
                </m:num>
                <m:den>
                  <m:r>
                    <w:rPr>
                      <w:rFonts w:ascii="Cambria Math" w:hAnsi="Cambria Math"/>
                    </w:rPr>
                    <m:t>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(43mm+2∙5mm)</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(43mm)</m:t>
                      </m:r>
                    </m:e>
                    <m:sup>
                      <m:r>
                        <w:rPr>
                          <w:rFonts w:ascii="Cambria Math" w:hAnsi="Cambria Math"/>
                        </w:rPr>
                        <m:t>4</m:t>
                      </m:r>
                    </m:sup>
                  </m:sSup>
                </m:num>
                <m:den>
                  <m:r>
                    <w:rPr>
                      <w:rFonts w:ascii="Cambria Math" w:hAnsi="Cambria Math"/>
                    </w:rPr>
                    <m:t>43mm+2∙5mm</m:t>
                  </m:r>
                </m:den>
              </m:f>
            </m:den>
          </m:f>
          <m:r>
            <w:rPr>
              <w:rFonts w:ascii="Cambria Math" w:hAnsi="Cambria Math"/>
            </w:rPr>
            <m:t>≈</m:t>
          </m:r>
          <m:bar>
            <m:barPr>
              <m:ctrlPr>
                <w:rPr>
                  <w:rFonts w:ascii="Cambria Math" w:hAnsi="Cambria Math"/>
                  <w:i/>
                </w:rPr>
              </m:ctrlPr>
            </m:barPr>
            <m:e>
              <m:bar>
                <m:barPr>
                  <m:ctrlPr>
                    <w:rPr>
                      <w:rFonts w:ascii="Cambria Math" w:hAnsi="Cambria Math"/>
                      <w:i/>
                    </w:rPr>
                  </m:ctrlPr>
                </m:barPr>
                <m:e>
                  <m:r>
                    <w:rPr>
                      <w:rFonts w:ascii="Cambria Math" w:hAnsi="Cambria Math"/>
                    </w:rPr>
                    <m:t>14,49</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e>
              </m:bar>
            </m:e>
          </m:bar>
        </m:oMath>
      </m:oMathPara>
    </w:p>
    <w:p w:rsidR="00DF1444" w:rsidRDefault="00FF5102" w:rsidP="005C4227">
      <w:pPr>
        <w:rPr>
          <w:rFonts w:eastAsiaTheme="minorEastAsia"/>
        </w:rPr>
      </w:pPr>
      <w:r>
        <w:rPr>
          <w:rFonts w:eastAsiaTheme="minorEastAsia"/>
        </w:rPr>
        <w:t>Um einen Wert für die zulässige Torsionsspannung zu erhalten wurde die Tabelle 4.4 aus dem Manuskript „Maschinenelemente, Tabellen und Diagramme“ von Decker (20. Auflage, Hanser Verlag München, 2018) herangezogen. Um den „</w:t>
      </w:r>
      <w:proofErr w:type="spellStart"/>
      <w:r>
        <w:rPr>
          <w:rFonts w:eastAsiaTheme="minorEastAsia"/>
        </w:rPr>
        <w:t>worst</w:t>
      </w:r>
      <w:proofErr w:type="spellEnd"/>
      <w:r>
        <w:rPr>
          <w:rFonts w:eastAsiaTheme="minorEastAsia"/>
        </w:rPr>
        <w:t xml:space="preserve"> </w:t>
      </w:r>
      <w:proofErr w:type="spellStart"/>
      <w:r>
        <w:rPr>
          <w:rFonts w:eastAsiaTheme="minorEastAsia"/>
        </w:rPr>
        <w:t>case</w:t>
      </w:r>
      <w:proofErr w:type="spellEnd"/>
      <w:r>
        <w:rPr>
          <w:rFonts w:eastAsiaTheme="minorEastAsia"/>
        </w:rPr>
        <w:t>“ anzunehmen wurde als Werkstoff S235 gewählt und die Bewertungsgruppe D</w:t>
      </w:r>
      <w:r w:rsidR="00DF1444">
        <w:rPr>
          <w:rFonts w:eastAsiaTheme="minorEastAsia"/>
        </w:rPr>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τ</m:t>
              </m:r>
            </m:e>
            <m:sub>
              <m:r>
                <w:rPr>
                  <w:rFonts w:ascii="Cambria Math" w:hAnsi="Cambria Math"/>
                </w:rPr>
                <m:t>zul</m:t>
              </m:r>
            </m:sub>
          </m:sSub>
          <m:r>
            <w:rPr>
              <w:rFonts w:ascii="Cambria Math" w:hAnsi="Cambria Math"/>
            </w:rPr>
            <m:t>=60</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oMath>
      </m:oMathPara>
    </w:p>
    <w:p w:rsidR="00DF1444" w:rsidRDefault="00DF1444" w:rsidP="005C4227">
      <w:pPr>
        <w:rPr>
          <w:rFonts w:eastAsiaTheme="minorEastAsia"/>
        </w:rPr>
      </w:pPr>
      <w:r>
        <w:rPr>
          <w:rFonts w:eastAsiaTheme="minorEastAsia"/>
        </w:rPr>
        <w:t>Verwendet wird der Werkstoff 42CrMo4. Für ihn sind noch höhere Spannungen zulässig. Dies wird beim Vergleich der beiden Streckgrenzen deutlich:</w:t>
      </w:r>
    </w:p>
    <w:p w:rsidR="00DF1444" w:rsidRPr="00DF1444" w:rsidRDefault="00DF1444" w:rsidP="005C4227">
      <w:pPr>
        <w:rPr>
          <w:rFonts w:eastAsiaTheme="minorEastAsia"/>
        </w:rPr>
      </w:pPr>
      <m:oMathPara>
        <m:oMath>
          <m:r>
            <w:rPr>
              <w:rFonts w:ascii="Cambria Math" w:eastAsiaTheme="minorEastAsia" w:hAnsi="Cambria Math"/>
            </w:rPr>
            <m:t>S235:     Re=215</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den>
          </m:f>
        </m:oMath>
      </m:oMathPara>
    </w:p>
    <w:p w:rsidR="0031651D" w:rsidRPr="00DF1444" w:rsidRDefault="00DF1444" w:rsidP="005C4227">
      <w:pPr>
        <w:rPr>
          <w:rFonts w:eastAsiaTheme="minorEastAsia"/>
        </w:rPr>
      </w:pPr>
      <m:oMathPara>
        <m:oMath>
          <m:r>
            <w:rPr>
              <w:rFonts w:ascii="Cambria Math" w:eastAsiaTheme="minorEastAsia" w:hAnsi="Cambria Math"/>
            </w:rPr>
            <m:t>42CrMo4:     Re=650</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den>
          </m:f>
        </m:oMath>
      </m:oMathPara>
    </w:p>
    <w:p w:rsidR="00DF1444" w:rsidRDefault="00DF1444" w:rsidP="00DF1444">
      <w:pPr>
        <w:pStyle w:val="berschrift2"/>
        <w:rPr>
          <w:rFonts w:eastAsiaTheme="minorEastAsia"/>
        </w:rPr>
      </w:pPr>
      <w:r>
        <w:rPr>
          <w:rFonts w:eastAsiaTheme="minorEastAsia"/>
        </w:rPr>
        <w:t>Spannungsnachweis</w:t>
      </w:r>
    </w:p>
    <w:p w:rsidR="00DF1444" w:rsidRPr="008702BC" w:rsidRDefault="00E77904" w:rsidP="00DF1444">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vorh</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zul</m:t>
              </m:r>
            </m:sub>
          </m:sSub>
        </m:oMath>
      </m:oMathPara>
    </w:p>
    <w:p w:rsidR="00104D74" w:rsidRPr="00104D74" w:rsidRDefault="00104D74" w:rsidP="00104D74">
      <w:pPr>
        <w:rPr>
          <w:rFonts w:eastAsiaTheme="minorEastAsia"/>
        </w:rPr>
      </w:pPr>
      <m:oMathPara>
        <m:oMath>
          <m:r>
            <w:rPr>
              <w:rFonts w:ascii="Cambria Math" w:hAnsi="Cambria Math"/>
            </w:rPr>
            <m:t>14,49</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≤60</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oMath>
      </m:oMathPara>
    </w:p>
    <w:p w:rsidR="00104D74" w:rsidRDefault="00104D74" w:rsidP="00104D74">
      <w:pPr>
        <w:pStyle w:val="Listenabsatz"/>
        <w:numPr>
          <w:ilvl w:val="0"/>
          <w:numId w:val="1"/>
        </w:numPr>
        <w:rPr>
          <w:rFonts w:eastAsiaTheme="minorEastAsia"/>
        </w:rPr>
      </w:pPr>
      <w:r>
        <w:rPr>
          <w:rFonts w:eastAsiaTheme="minorEastAsia"/>
        </w:rPr>
        <w:t>Die Schweißverbindung hält den vorhandenen Belastungen stand.</w:t>
      </w:r>
    </w:p>
    <w:p w:rsidR="00104D74" w:rsidRPr="00104D74" w:rsidRDefault="00104D74" w:rsidP="00104D74">
      <w:pPr>
        <w:ind w:left="360"/>
        <w:rPr>
          <w:rFonts w:eastAsiaTheme="minorEastAsia"/>
        </w:rPr>
      </w:pPr>
      <w:r w:rsidRPr="00104D74">
        <w:rPr>
          <w:rFonts w:eastAsiaTheme="minorEastAsia"/>
        </w:rPr>
        <w:t>Die außenliegende Schweißnaht wird nicht separat berechnet. Die Spannungen sind dort ein Bruchteil der ohnehin kleinen Spannungen der inneren Naht. Dies liegt an der größeren Fläche der Naht bei gleichem Durchmesser.</w:t>
      </w:r>
    </w:p>
    <w:p w:rsidR="00770AF4" w:rsidRDefault="00770AF4" w:rsidP="00770AF4">
      <w:bookmarkStart w:id="0" w:name="_GoBack"/>
      <w:bookmarkEnd w:id="0"/>
    </w:p>
    <w:p w:rsidR="00770AF4" w:rsidRPr="00770AF4" w:rsidRDefault="00770AF4" w:rsidP="00770AF4"/>
    <w:sectPr w:rsidR="00770AF4" w:rsidRPr="00770A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CE5029"/>
    <w:multiLevelType w:val="hybridMultilevel"/>
    <w:tmpl w:val="30F80F5C"/>
    <w:lvl w:ilvl="0" w:tplc="12B4D95C">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227"/>
    <w:rsid w:val="0001703A"/>
    <w:rsid w:val="00104D74"/>
    <w:rsid w:val="0031651D"/>
    <w:rsid w:val="00347AD7"/>
    <w:rsid w:val="00413A9A"/>
    <w:rsid w:val="004155D4"/>
    <w:rsid w:val="004D6FC0"/>
    <w:rsid w:val="00550255"/>
    <w:rsid w:val="005C4227"/>
    <w:rsid w:val="007325B3"/>
    <w:rsid w:val="00770AF4"/>
    <w:rsid w:val="0082794B"/>
    <w:rsid w:val="00840762"/>
    <w:rsid w:val="008578A0"/>
    <w:rsid w:val="008702BC"/>
    <w:rsid w:val="00DF1444"/>
    <w:rsid w:val="00E77904"/>
    <w:rsid w:val="00FF5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47EE3-4C39-45EE-B552-D2FE5981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C42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C42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C4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C4227"/>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C4227"/>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5C4227"/>
    <w:rPr>
      <w:rFonts w:asciiTheme="majorHAnsi" w:eastAsiaTheme="majorEastAsia" w:hAnsiTheme="majorHAnsi" w:cstheme="majorBidi"/>
      <w:color w:val="2E74B5" w:themeColor="accent1" w:themeShade="BF"/>
      <w:sz w:val="32"/>
      <w:szCs w:val="32"/>
    </w:rPr>
  </w:style>
  <w:style w:type="character" w:styleId="Platzhaltertext">
    <w:name w:val="Placeholder Text"/>
    <w:basedOn w:val="Absatz-Standardschriftart"/>
    <w:uiPriority w:val="99"/>
    <w:semiHidden/>
    <w:rsid w:val="005C4227"/>
    <w:rPr>
      <w:color w:val="808080"/>
    </w:rPr>
  </w:style>
  <w:style w:type="paragraph" w:styleId="Listenabsatz">
    <w:name w:val="List Paragraph"/>
    <w:basedOn w:val="Standard"/>
    <w:uiPriority w:val="34"/>
    <w:qFormat/>
    <w:rsid w:val="00104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1249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Inneo Solutions GmbH</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Hofmann, Tanja</dc:creator>
  <cp:keywords/>
  <dc:description/>
  <cp:lastModifiedBy>Hofmann, Tanja</cp:lastModifiedBy>
  <cp:revision>6</cp:revision>
  <dcterms:created xsi:type="dcterms:W3CDTF">2019-10-19T13:30:00Z</dcterms:created>
  <dcterms:modified xsi:type="dcterms:W3CDTF">2019-10-21T20:12:00Z</dcterms:modified>
</cp:coreProperties>
</file>