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t>Faist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9C5F9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9C5F92">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9C5F9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8.1 cog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8.2 fischer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8.7 norelem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39C95C9E" w:rsidR="005B1C8E" w:rsidRPr="00383968" w:rsidRDefault="00383968" w:rsidP="00492C30">
      <w:pPr>
        <w:jc w:val="both"/>
        <w:rPr>
          <w:rFonts w:cs="Arial"/>
          <w:szCs w:val="24"/>
        </w:rPr>
      </w:pPr>
      <w:r w:rsidRPr="00383968">
        <w:rPr>
          <w:rFonts w:cs="Arial"/>
          <w:szCs w:val="24"/>
        </w:rPr>
        <w:t xml:space="preserve">Der öffentliche Personennahverkehr wird in Zeiten überfüllter Straßen ein immer wichtigeres Angebot für die Menschen, vor allem in Ballungsräumen, um klassische Verkehrswege zu entlasten, die psychische Belastung für das Individuum zu senken und nicht zuletzt, um die Klimaziele der Bundesregierung erreichen zu können. Die steigenden Passagierzahlen führen dazu, dass die öffentlichen Verkehrsmittel so zuverlässig, störungs- </w:t>
      </w:r>
      <w:r w:rsidR="00CE165C">
        <w:rPr>
          <w:rFonts w:cs="Arial"/>
          <w:szCs w:val="24"/>
        </w:rPr>
        <w:t>und</w:t>
      </w:r>
      <w:r w:rsidRPr="00383968">
        <w:rPr>
          <w:rFonts w:cs="Arial"/>
          <w:szCs w:val="24"/>
        </w:rPr>
        <w:t xml:space="preserve"> wartungsarm wie möglich zur Verfügung stehen müssen. In diesem Konstruktionsentwurf soll für eine innerstädtische Metro ein einstufiges Schienenfahrzeugachsgetriebe </w:t>
      </w:r>
      <w:r w:rsidR="00CE165C">
        <w:rPr>
          <w:rFonts w:cs="Arial"/>
          <w:szCs w:val="24"/>
        </w:rPr>
        <w:t>konstruiert</w:t>
      </w:r>
      <w:r w:rsidRPr="00383968">
        <w:rPr>
          <w:rFonts w:cs="Arial"/>
          <w:szCs w:val="24"/>
        </w:rPr>
        <w:t xml:space="preserve"> werden. Die Motorwelle liegt dabei parallel zur Radsatzwelle. Relativbewegungen zwischen Getriebe und Drehgestell werden von einer Bogenzahnkupplung ausgeglichen.</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244E62F7" w:rsidR="00533E9C" w:rsidRPr="00C97BAA" w:rsidRDefault="00533E9C" w:rsidP="00C97BAA">
      <w:pPr>
        <w:jc w:val="both"/>
        <w:rPr>
          <w:rFonts w:cs="Arial"/>
          <w:szCs w:val="24"/>
        </w:rPr>
      </w:pPr>
      <w:r>
        <w:rPr>
          <w:rFonts w:cs="Arial"/>
          <w:szCs w:val="24"/>
        </w:rPr>
        <w:t xml:space="preserve">Im Anhang sind außerdem die ausgedruckten Excel-Berechnungen </w:t>
      </w:r>
      <w:r w:rsidR="00383968">
        <w:rPr>
          <w:rFonts w:cs="Arial"/>
          <w:szCs w:val="24"/>
        </w:rPr>
        <w:t xml:space="preserve">sowie Berechnungsergebnisse des Programmes KissSoft </w:t>
      </w:r>
      <w:r>
        <w:rPr>
          <w:rFonts w:cs="Arial"/>
          <w:szCs w:val="24"/>
        </w:rPr>
        <w:t xml:space="preserve">zu finden. </w:t>
      </w:r>
      <w:r w:rsidR="004A398F">
        <w:rPr>
          <w:rFonts w:cs="Arial"/>
          <w:szCs w:val="24"/>
        </w:rPr>
        <w:t>Auf der beiliegenden CD befinden sich die Original-Dateien.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t>Nr</w:t>
            </w:r>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4A398F" w:rsidRPr="000C4072" w14:paraId="6D3B765A" w14:textId="77777777" w:rsidTr="001F6764">
        <w:tc>
          <w:tcPr>
            <w:tcW w:w="6799" w:type="dxa"/>
            <w:vAlign w:val="center"/>
          </w:tcPr>
          <w:p w14:paraId="7A61D246" w14:textId="4B9B2BDD" w:rsidR="004A398F" w:rsidRDefault="004A398F" w:rsidP="001F6764">
            <w:pPr>
              <w:spacing w:before="240"/>
              <w:rPr>
                <w:rFonts w:cs="Arial"/>
              </w:rPr>
            </w:pPr>
            <w:r>
              <w:rPr>
                <w:rFonts w:cs="Arial"/>
              </w:rPr>
              <w:t>Antriebsdrehzahl bei 50 km/h</w:t>
            </w:r>
          </w:p>
        </w:tc>
        <w:tc>
          <w:tcPr>
            <w:tcW w:w="1701" w:type="dxa"/>
            <w:vAlign w:val="center"/>
          </w:tcPr>
          <w:p w14:paraId="15CCCF5A" w14:textId="1AEE9D45" w:rsidR="004A398F" w:rsidRDefault="004A398F" w:rsidP="001F6764">
            <w:pPr>
              <w:spacing w:before="240"/>
              <w:rPr>
                <w:rFonts w:cs="Arial"/>
              </w:rPr>
            </w:pPr>
            <w:r>
              <w:rPr>
                <w:rFonts w:cs="Arial"/>
              </w:rPr>
              <w:t>1000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7D6A69">
      <w:pPr>
        <w:jc w:val="both"/>
      </w:pPr>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7D6A69">
      <w:pPr>
        <w:jc w:val="both"/>
      </w:pPr>
      <w:r>
        <w:t>Trotzdem wird eine halbjährliche Kontrolle der Zahnflanken auf Micropitting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7D6A69">
      <w:pPr>
        <w:jc w:val="both"/>
      </w:pPr>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9C5F9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9C5F9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rsidRPr="007D6A69">
        <w:t>Zunächst soll ein thermischer Pressverband für die Verbindung zwischen Welle und Großrad ausgelegt werden. Als Berechnungsgrundlage dienen die Formeln nach ME Decker [2], (9.1) bis (9.</w:t>
      </w:r>
      <w:r w:rsidR="00C40E64" w:rsidRPr="007D6A69">
        <w:t>35</w:t>
      </w:r>
      <w:r w:rsidRPr="007D6A69">
        <w:t>), die auf dem zugehörigen Excel-Blatt des Verlages verwendet werden.</w:t>
      </w:r>
      <w:r w:rsidR="00A93844" w:rsidRPr="007D6A69">
        <w:t xml:space="preserve"> </w:t>
      </w:r>
      <w:r w:rsidRPr="007D6A69">
        <w:t>Zur Berech</w:t>
      </w:r>
      <w:r w:rsidR="00A93844" w:rsidRPr="007D6A69">
        <w:t>n</w:t>
      </w:r>
      <w:r w:rsidRPr="007D6A69">
        <w:t xml:space="preserve">ung des </w:t>
      </w:r>
      <w:r w:rsidR="00601910" w:rsidRPr="007D6A69">
        <w:t>Quer</w:t>
      </w:r>
      <w:r w:rsidRPr="007D6A69">
        <w:t xml:space="preserve">pressverbandes muss das Rad in 4 Bereiche mit unterschiedlichen </w:t>
      </w:r>
      <w:r w:rsidRPr="00A93844">
        <w:t>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9C5F92"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9C5F92"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9C5F92"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9C5F92"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9C5F92"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9C5F9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9C5F92"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des kegeligen Ölpressverbandes sinkt trotz der Ölnut</w:t>
      </w:r>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Aufschubweg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Aufschubweg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r w:rsidR="00EC69E0">
        <w:t xml:space="preserve">Abtriebslager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9C5F92"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9C5F9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=6,5 kN+1,5 kN-5,7 kN </m:t>
          </m:r>
        </m:oMath>
      </m:oMathPara>
    </w:p>
    <w:p w14:paraId="47E5BCC0" w14:textId="4515BFB8" w:rsidR="008D6044" w:rsidRPr="00EA0D28" w:rsidRDefault="009C5F92"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=2,3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9C5F92"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9C5F92"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9C5F92"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9C5F92"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9C5F92"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9C5F92"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9C5F92"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2,3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9C5F92"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=6,9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71F188D2" w:rsidR="00311343" w:rsidRDefault="00311343" w:rsidP="00311343">
      <w:r>
        <w:t xml:space="preserve">Die Lager der Abtriebsseite sind bereits durch </w:t>
      </w:r>
      <w:r w:rsidR="009C5F92">
        <w:t>die Anforderungsliste definiert,</w:t>
      </w:r>
      <w:r>
        <w:t xml:space="preserve"> für die Abtriebslager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Default="00311343" w:rsidP="00311343">
      <w:pPr>
        <w:rPr>
          <w:color w:val="FF0000"/>
        </w:rPr>
      </w:pPr>
      <w:r w:rsidRPr="00311343">
        <w:rPr>
          <w:color w:val="FF0000"/>
        </w:rPr>
        <w:t>Grund</w:t>
      </w:r>
    </w:p>
    <w:p w14:paraId="6B61673B" w14:textId="57D3ABF6" w:rsidR="006C0231" w:rsidRPr="009C5F92" w:rsidRDefault="009C5F92" w:rsidP="009C5F92">
      <w:pPr>
        <w:jc w:val="both"/>
      </w:pPr>
      <w:r w:rsidRPr="009C5F92">
        <w:t>Die Lager wurden speziell für diese Verzahnungsvariante und die damit wirkenden Kräfte ausgelegt. Soll das Gehäuse für andere Verzahnungsvarianten genutzt werden, muss zuerst überprüft werden, ob die gewählten Lager noch eine ausreichende Lebensdauer besitzen. Bei den Antriebslagern ist außerdem zu prüfen, ob ihre Innendurchmesser kompatibel mit dem Fußkreis des Ritzels sind (siehe Erläuterungen in Unterabschnitt 3.2.1) und ob das Ritzel trotz dem äußeren Lagerschulterdurchmesser noch ins Gehäuse eingeführt werden kann.</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=91mm. Das auf die Welle aufgeschnittene Ritzel hat jedoch nur einen Fußkreisdurchmesser von d</w:t>
      </w:r>
      <w:r>
        <w:rPr>
          <w:vertAlign w:val="subscript"/>
        </w:rPr>
        <w:t>F,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6DBBA6CE" w:rsidR="00311343" w:rsidRPr="005E5C96" w:rsidRDefault="00311343" w:rsidP="00311343">
      <w:r>
        <w:t>Der geforderte Lagerschulterdurchmesser</w:t>
      </w:r>
      <w:r w:rsidR="009C5F92">
        <w:t xml:space="preserve"> für den Innenring</w:t>
      </w:r>
      <w:r>
        <w:t xml:space="preserve"> beträgt für diese Lager nur d</w:t>
      </w:r>
      <w:r>
        <w:rPr>
          <w:vertAlign w:val="subscript"/>
        </w:rPr>
        <w:t>a</w:t>
      </w:r>
      <w:r>
        <w:t>=84 mm. Somit werden zum Fußkreis des Ritzels (89mm) je 2,5mm Respektabstand eingehalten und es kommt zu keinen Kollisionen.</w:t>
      </w:r>
    </w:p>
    <w:p w14:paraId="6D2D5040" w14:textId="77777777" w:rsidR="00311343" w:rsidRPr="00824F7F" w:rsidRDefault="00311343" w:rsidP="00311343">
      <w:r>
        <w:t>Allerdings ist es aus Sicht der Lagerlebensdauer nun nicht mehr möglich, zwei identische Zylinderrollenlager zu verwenden. Das Lager auf der Motorseite (innen) wird mehr belastet und deshalb stärker gewählt als das auf der Radseite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2226436A" w:rsidR="008D125D" w:rsidRPr="008D125D" w:rsidRDefault="00B16BAB" w:rsidP="008D125D">
      <w:r>
        <w:lastRenderedPageBreak/>
        <w:t>Die Lager werden auf der Radseite mit einer auf die Welle geschraubten Lagersicherung f</w:t>
      </w:r>
      <w:r w:rsidR="009C5F92">
        <w:t>ixiert. Dazu sollen drei M8</w:t>
      </w:r>
      <w:r>
        <w:t xml:space="preserve">-Schrauben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05CE2EE8" w:rsidR="00085C37" w:rsidRDefault="00FB6320" w:rsidP="0028730D">
      <w:pPr>
        <w:jc w:val="both"/>
      </w:pPr>
      <w:r w:rsidRPr="00801DC7">
        <w:t>Auf Motorseite werden die Lager mit</w:t>
      </w:r>
      <w:r w:rsidR="00801DC7" w:rsidRPr="00801DC7">
        <w:t xml:space="preserve"> </w:t>
      </w:r>
      <w:r w:rsidR="009C5F92">
        <w:t>dem</w:t>
      </w:r>
      <w:r w:rsidR="0028730D">
        <w:t xml:space="preserve"> Stützring </w:t>
      </w:r>
      <w:r w:rsidRPr="00801DC7">
        <w:t>befestigt.</w:t>
      </w:r>
      <w:r w:rsidR="00801DC7">
        <w:t xml:space="preserve"> </w:t>
      </w:r>
      <w:r w:rsidR="0028730D">
        <w:t>Dieser übt durch die Deckelverschraubung eine Kraft auf den äußeren Lagerring aus. Als Verliersicherung für den Innenring dient der Innenteil der Labyrinthdichtung, der mit einer Übergangspassung auf die Welle aufgeschoben ist.</w:t>
      </w:r>
    </w:p>
    <w:p w14:paraId="42B808BD" w14:textId="77777777" w:rsidR="009C5F92" w:rsidRDefault="009C5F92" w:rsidP="0028730D">
      <w:pPr>
        <w:jc w:val="both"/>
      </w:pPr>
    </w:p>
    <w:p w14:paraId="29342283" w14:textId="4C411483" w:rsidR="009C5F92" w:rsidRPr="009C5F92" w:rsidRDefault="009C5F92" w:rsidP="0028730D">
      <w:pPr>
        <w:jc w:val="both"/>
      </w:pPr>
      <w:r>
        <w:t>Bei den Antriebslagern muss außerdem beachtet werden, dass das Ritzel für die Montage des Getriebes nicht nur durch die Bohrung mit dem Lageraußendurchmesser, sondern durch ein Loch mit dem verringerten Durchmesser D</w:t>
      </w:r>
      <w:r w:rsidR="000A7227">
        <w:rPr>
          <w:vertAlign w:val="subscript"/>
        </w:rPr>
        <w:t>a</w:t>
      </w:r>
      <w:r>
        <w:rPr>
          <w:vertAlign w:val="subscript"/>
        </w:rPr>
        <w:t xml:space="preserve"> </w:t>
      </w:r>
      <w:r>
        <w:t>(Lagerschulterdurchmesser außen) nach Spezifikation des Lagerherstellers Schaeffler passen muss. Dieser beträgt für die gewählten Lager D</w:t>
      </w:r>
      <w:r w:rsidR="000A7227">
        <w:rPr>
          <w:vertAlign w:val="subscript"/>
        </w:rPr>
        <w:t>a</w:t>
      </w:r>
      <w:r>
        <w:t>=</w:t>
      </w:r>
      <w:r w:rsidR="000A7227">
        <w:t xml:space="preserve"> max. 121 mm [5]. Der Kopfkreis des Ritzels beträgt nach Berechnung durch KissSoft maximal 109,4 mm. Somit ist eine Montage des Ritzels durch einfaches Einstecken gewährleistet.</w:t>
      </w:r>
      <w:bookmarkStart w:id="29" w:name="_GoBack"/>
      <w:bookmarkEnd w:id="29"/>
    </w:p>
    <w:p w14:paraId="0964E437" w14:textId="06482A05" w:rsidR="008C06E3" w:rsidRDefault="008C06E3" w:rsidP="00EA0D28">
      <w:pPr>
        <w:pStyle w:val="berschrift3"/>
      </w:pPr>
      <w:bookmarkStart w:id="30" w:name="_Toc30503717"/>
      <w:r>
        <w:t>Abtriebslager</w:t>
      </w:r>
      <w:bookmarkEnd w:id="30"/>
    </w:p>
    <w:p w14:paraId="7D884FEB" w14:textId="67FB557C" w:rsidR="00562D34" w:rsidRPr="00562D34" w:rsidRDefault="00562D34" w:rsidP="00562D34">
      <w:r>
        <w:t>Bei den Abtriebslagern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w:t>
      </w:r>
      <w:r w:rsidR="00F00AD8">
        <w:lastRenderedPageBreak/>
        <w:t xml:space="preserve">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1"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Drucklinien der Timkenlager</w:t>
      </w:r>
      <w:bookmarkEnd w:id="31"/>
    </w:p>
    <w:p w14:paraId="10B374D6" w14:textId="77777777" w:rsidR="008B70B8" w:rsidRPr="008B70B8" w:rsidRDefault="008B70B8" w:rsidP="008B70B8"/>
    <w:p w14:paraId="413A78A4" w14:textId="03DA99BA" w:rsidR="008B70B8" w:rsidRPr="008B70B8" w:rsidRDefault="008B70B8" w:rsidP="008B70B8">
      <w:r>
        <w:t>Die Abtriebslageraußenringe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2" w:name="_Toc30503718"/>
      <w:r>
        <w:lastRenderedPageBreak/>
        <w:t>Lagerlebensdauer</w:t>
      </w:r>
      <w:bookmarkEnd w:id="32"/>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Die Abt</w:t>
      </w:r>
      <w:r>
        <w:t>r</w:t>
      </w:r>
      <w:r w:rsidRPr="00F92A20">
        <w:t>iebsdrehzahl wird mit folgender Formel</w:t>
      </w:r>
      <w:r>
        <w:t xml:space="preserve"> für eine Höchstgeschwindigkeit von 100 km/h</w:t>
      </w:r>
      <w:r w:rsidRPr="00F92A20">
        <w:t xml:space="preserve"> berechnet.</w:t>
      </w:r>
    </w:p>
    <w:p w14:paraId="0F19E2D6" w14:textId="5466F0A4" w:rsidR="00EA0D28" w:rsidRPr="00F92A20"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9C5F92"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9C5F92"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außen/Radseite)</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6,9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=266 539 </m:t>
          </m:r>
          <m:r>
            <w:rPr>
              <w:rFonts w:ascii="Cambria Math" w:hAnsi="Cambria Math"/>
            </w:rPr>
            <m:t>h</m:t>
          </m:r>
        </m:oMath>
      </m:oMathPara>
    </w:p>
    <w:p w14:paraId="118468A8" w14:textId="06EC5A17" w:rsidR="00EA0D28" w:rsidRPr="00EE5FA0" w:rsidRDefault="009C5F92"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=13,33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9C5F92"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9C5F92"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9C5F92"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3" w:name="_Toc30503719"/>
      <w:r>
        <w:t>Auswahl der Dichtungen</w:t>
      </w:r>
      <w:bookmarkEnd w:id="33"/>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t>
      </w:r>
      <w:r w:rsidR="009174D0">
        <w:lastRenderedPageBreak/>
        <w:t xml:space="preserve">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t>Um bei der Reinigung oder bei ungüstigen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Entwässerung der Abtriebsdichtung</w:t>
      </w:r>
      <w:r w:rsidR="000E43BC">
        <w:t>, Schnittansicht</w:t>
      </w:r>
    </w:p>
    <w:p w14:paraId="269B163F" w14:textId="482C9CD4" w:rsidR="000E43BC" w:rsidRDefault="000E43BC" w:rsidP="000E43BC">
      <w:pPr>
        <w:keepNext/>
      </w:pPr>
      <w:r>
        <w:rPr>
          <w:noProof/>
        </w:rPr>
        <w:lastRenderedPageBreak/>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:Entwässerung der Abtriebsdichtung</w:t>
      </w:r>
    </w:p>
    <w:p w14:paraId="21E4BA87" w14:textId="7F008AE9" w:rsidR="00E308B7" w:rsidRDefault="00E308B7" w:rsidP="00E308B7">
      <w:pPr>
        <w:pStyle w:val="berschrift2"/>
      </w:pPr>
      <w:bookmarkStart w:id="34" w:name="_Toc30503720"/>
      <w:r>
        <w:t>Konstruktive Erläuterungen</w:t>
      </w:r>
      <w:bookmarkEnd w:id="34"/>
    </w:p>
    <w:p w14:paraId="3E53394F" w14:textId="19CA6ADC" w:rsidR="006C0231" w:rsidRPr="006C0231" w:rsidRDefault="006C0231" w:rsidP="006C0231">
      <w:pPr>
        <w:rPr>
          <w:color w:val="FF0000"/>
        </w:rPr>
      </w:pPr>
      <w:r w:rsidRPr="006C0231">
        <w:rPr>
          <w:color w:val="FF0000"/>
        </w:rPr>
        <w:t>Radial- und Axialspalte</w:t>
      </w:r>
    </w:p>
    <w:p w14:paraId="64B8A45E" w14:textId="3A7E9929" w:rsidR="0021606E" w:rsidRDefault="0021606E" w:rsidP="00454249">
      <w:pPr>
        <w:pStyle w:val="berschrift1"/>
      </w:pPr>
      <w:bookmarkStart w:id="35" w:name="_Toc30503721"/>
      <w:r>
        <w:lastRenderedPageBreak/>
        <w:t>Schmierung</w:t>
      </w:r>
      <w:bookmarkEnd w:id="35"/>
    </w:p>
    <w:p w14:paraId="600796B9" w14:textId="084D2C75" w:rsidR="00ED4CED" w:rsidRPr="00A9368D" w:rsidRDefault="007B5C11" w:rsidP="008C06E3">
      <w:r>
        <w:t>Geschmiert werden müssen die Antriebslager (Vierpunktlager und Zylinderrollenlager), die Abtriebslager (Kegelrollenlager) und die Verzahnung selbst. Als Schmierung ist eine Tauchschmierung mit Ölsumpf im Gehäuse vorgesehen. Das Großrad soll im Durchschnitt bis zu einer Tiefe von 5xm</w:t>
      </w:r>
      <w:r>
        <w:rPr>
          <w:vertAlign w:val="subscript"/>
        </w:rPr>
        <w:t>n</w:t>
      </w:r>
      <w:r>
        <w:t xml:space="preserve"> im Ölsumpf liegen, bei einem Modul von 4,5 bedeutet das eine Eintauchtiefe von 22,5 mm. Die exakte benötigte Ölmenge kann nur durch Versuche bestimmt werden, jedoch liegt die ideale Öllinie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6"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6"/>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7"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7"/>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8" w:name="_Toc30503722"/>
      <w:r>
        <w:t>Ölzufuhr</w:t>
      </w:r>
      <w:bookmarkEnd w:id="38"/>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Ölrinnen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gefördert wird (siehe Bild). Damit auch nach Stillstand eine Anfangsschmierung gewährleistet ist, sind den Abtriebslagern Stauringe vorgelagert, die gleichzeitig eine Stützfunktion im Gehäuse haben. Allerdings muss das Öl nun durch diese Stauring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Abtriebslager </w:t>
      </w:r>
    </w:p>
    <w:p w14:paraId="3845BCF5" w14:textId="77777777" w:rsidR="00F47170" w:rsidRPr="00CA501B" w:rsidRDefault="003C03B9" w:rsidP="003C03B9">
      <w:pPr>
        <w:jc w:val="both"/>
      </w:pPr>
      <w:r>
        <w:t xml:space="preserve">Auf der Abtriebsseite wird das Öl ebenfalls von außen an das einzeln stehende Zylinderrollenlager geleitet. </w:t>
      </w:r>
      <w:r w:rsidR="00F47170" w:rsidRPr="00CA501B">
        <w:t>Der Stauring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Außerdem sind für beide Antriebsseiten Ölrinnen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Ölrinnen für Anfangsschmierung</w:t>
      </w:r>
    </w:p>
    <w:p w14:paraId="769DDE64" w14:textId="0C328677" w:rsidR="00FB6320" w:rsidRPr="006C0231" w:rsidRDefault="006C0231" w:rsidP="00FB6320">
      <w:pPr>
        <w:rPr>
          <w:color w:val="FF0000"/>
        </w:rPr>
      </w:pPr>
      <w:r w:rsidRPr="006C0231">
        <w:rPr>
          <w:color w:val="FF0000"/>
        </w:rPr>
        <w:t>Ölläufe</w:t>
      </w:r>
      <w:r>
        <w:rPr>
          <w:color w:val="FF0000"/>
        </w:rPr>
        <w:t>/sammelrinnen</w:t>
      </w:r>
      <w:r w:rsidRPr="006C0231">
        <w:rPr>
          <w:color w:val="FF0000"/>
        </w:rPr>
        <w:t xml:space="preserve"> im Gehäuse</w:t>
      </w:r>
    </w:p>
    <w:p w14:paraId="34A1C088" w14:textId="4F746392" w:rsidR="0021606E" w:rsidRDefault="0021606E" w:rsidP="0021606E">
      <w:pPr>
        <w:pStyle w:val="berschrift2"/>
      </w:pPr>
      <w:bookmarkStart w:id="39" w:name="_Toc30503723"/>
      <w:r>
        <w:t>Ölabfuhr</w:t>
      </w:r>
      <w:bookmarkEnd w:id="39"/>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7F661FF0" w14:textId="77777777" w:rsidR="007D6A69" w:rsidRDefault="007D6A69" w:rsidP="00A63527">
      <w:pPr>
        <w:rPr>
          <w:color w:val="FF0000"/>
        </w:rPr>
      </w:pPr>
    </w:p>
    <w:p w14:paraId="0BE449D4" w14:textId="023C6518" w:rsidR="007D6A69" w:rsidRPr="007D6A69" w:rsidRDefault="007D6A69" w:rsidP="007D6A69">
      <w:pPr>
        <w:jc w:val="both"/>
      </w:pPr>
      <w:r w:rsidRPr="007D6A69">
        <w:t xml:space="preserve">Damit der Stützring ein reines Drehteil (lediglich mit Bohrungen) bleibt und keine Ölkanäle  von außen aufgesetzt werden müssen, fiel die Wahl zur Entlüftung der Abtriebslabyrinthdichtungen auf die im Bild unten dargestellte Variante. Im Gehäuse sind innere Ölleitungen vorhanden, die das durch den Stützring austretende Öl zurück in den Ölsumpf führen. </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Ölabfuhr Abtriebslager</w:t>
      </w:r>
    </w:p>
    <w:p w14:paraId="66FB3D87" w14:textId="77777777" w:rsidR="00A63527" w:rsidRPr="00A63527" w:rsidRDefault="00A63527" w:rsidP="00A63527"/>
    <w:p w14:paraId="0275DC20" w14:textId="7E8A5DAF" w:rsidR="005D5A46" w:rsidRDefault="005D5A46">
      <w:pPr>
        <w:pStyle w:val="berschrift2"/>
      </w:pPr>
      <w:bookmarkStart w:id="40" w:name="_Toc30503724"/>
      <w:r>
        <w:t>Abdichtung</w:t>
      </w:r>
    </w:p>
    <w:p w14:paraId="3000A24B" w14:textId="5563CBCF" w:rsidR="0021606E" w:rsidRDefault="0021606E" w:rsidP="0021606E">
      <w:pPr>
        <w:pStyle w:val="berschrift2"/>
      </w:pPr>
      <w:r>
        <w:t>Schmieranweisung und Kontrolle der Schmierung</w:t>
      </w:r>
      <w:bookmarkEnd w:id="40"/>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1D390D45" w14:textId="3E3E886B" w:rsidR="005D5A46" w:rsidRPr="004F6ABF" w:rsidRDefault="005D5A46" w:rsidP="005D5A46">
      <w:pPr>
        <w:pStyle w:val="berschrift2"/>
      </w:pPr>
      <w:r>
        <w:t>Simulation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Großrad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r w:rsidRPr="0096771B">
        <w:rPr>
          <w:color w:val="FF0000"/>
        </w:rPr>
        <w:t>Bildle</w:t>
      </w:r>
    </w:p>
    <w:p w14:paraId="209E7824" w14:textId="4531B346" w:rsidR="004F6ABF" w:rsidRDefault="004F6ABF" w:rsidP="004F6ABF">
      <w:pPr>
        <w:rPr>
          <w:color w:val="FF0000"/>
        </w:rPr>
      </w:pPr>
      <w:r w:rsidRPr="004F6ABF">
        <w:rPr>
          <w:color w:val="FF0000"/>
        </w:rPr>
        <w:t>Ölrinne anpassen!!</w:t>
      </w:r>
    </w:p>
    <w:p w14:paraId="18C04A31" w14:textId="23EAF393" w:rsidR="005D5A46" w:rsidRDefault="005D5A46" w:rsidP="004F6ABF">
      <w:pPr>
        <w:rPr>
          <w:color w:val="FF0000"/>
        </w:rPr>
      </w:pPr>
      <w:r>
        <w:rPr>
          <w:color w:val="FF0000"/>
        </w:rPr>
        <w:t>Bild mit größten Rädern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23034C33" w14:textId="508EFE58" w:rsidR="005D5A46" w:rsidRPr="005D5A46" w:rsidRDefault="005D5A46" w:rsidP="005D5A46">
      <w:r>
        <w:t>Welcher Winkel?</w:t>
      </w:r>
    </w:p>
    <w:p w14:paraId="1962A9DA" w14:textId="712D3F50" w:rsidR="00580F85" w:rsidRDefault="00580F85" w:rsidP="00EA0D28">
      <w:pPr>
        <w:pStyle w:val="berschrift3"/>
      </w:pPr>
      <w:r>
        <w:t>Berechnung der Ankerschrauben</w:t>
      </w:r>
    </w:p>
    <w:p w14:paraId="4DAB0D72" w14:textId="77777777" w:rsidR="00580F85" w:rsidRDefault="00580F85" w:rsidP="00580F85">
      <w:r>
        <w:t>Die Schraubenberechnung für die Drehmomentstütze wurde mit Kissoft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Das Nennmoment wird als statisch angenommen, das Maximalmoment aufgrund seiner kurzen Wirkzeit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10800 Nm</w:t>
            </w:r>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54000 Nm</w:t>
            </w:r>
          </w:p>
        </w:tc>
      </w:tr>
      <w:tr w:rsidR="00A33BA8" w14:paraId="4AB39C2F" w14:textId="77777777" w:rsidTr="004D11B5">
        <w:tc>
          <w:tcPr>
            <w:tcW w:w="1980" w:type="dxa"/>
          </w:tcPr>
          <w:p w14:paraId="26A0BE8F" w14:textId="77777777" w:rsidR="00A33BA8" w:rsidRDefault="00A33BA8" w:rsidP="0096771B">
            <w:r>
              <w:t>F</w:t>
            </w:r>
            <w:r w:rsidRPr="0096771B">
              <w:rPr>
                <w:vertAlign w:val="subscript"/>
              </w:rPr>
              <w:t>t</w:t>
            </w:r>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lastRenderedPageBreak/>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KissSoft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Lunkerbildung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Der größte Ritzelkopfdurchmesser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62,5 mm betragen, auch bei abgefahrenen Reifen, also Reifendurchmesser von 770 mm (= Achshöhe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Kippfall von +/- 6° soll die </w:t>
      </w:r>
      <w:r>
        <w:lastRenderedPageBreak/>
        <w:t>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Die Schraubenberechnung für die Drehmomentstütze wurde mit Kissoft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9C5F92"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9C5F92"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9C5F92"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9C5F92"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9C5F92"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9C5F92"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9C5F92"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48A0370" w:rsidR="00F67DA7" w:rsidRPr="00F67DA7" w:rsidRDefault="005D5A46" w:rsidP="00F121B6">
      <w:r>
        <w:t>Gewählt werden zwei M20</w:t>
      </w:r>
      <w:r w:rsidR="00F67DA7" w:rsidRPr="00CC06E4">
        <w:t xml:space="preserve"> Schrauben mit einer Länge von</w:t>
      </w:r>
      <w:r w:rsidR="00CC06E4" w:rsidRPr="00CC06E4">
        <w:t xml:space="preserve"> 120</w:t>
      </w:r>
      <w:r w:rsidR="00F67DA7" w:rsidRPr="00CC06E4">
        <w:t xml:space="preserve"> mm als Durchsteck</w:t>
      </w:r>
      <w:r w:rsidR="00F67DA7"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Ziehen Sie die Schrauben der Spannsätze mit 37 Nm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Nm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Nm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Nm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trimetrischen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t xml:space="preserve">Gomeringer,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unimarket AG: </w:t>
      </w:r>
      <w:r w:rsidRPr="005C045C">
        <w:rPr>
          <w:rFonts w:cs="Arial"/>
          <w:szCs w:val="24"/>
        </w:rPr>
        <w:t>fischer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9C5F92">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9C5F92">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9C5F92">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9C5F92">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9C5F92">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9C5F92">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9C5F92">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9C5F92">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9C5F92">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9C5F92">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9C5F92">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9C5F92"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9C5F92"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9C5F92"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9C5F92"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9C5F92"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C86F2" w14:textId="77777777" w:rsidR="00EF4DA4" w:rsidRDefault="00EF4DA4">
      <w:r>
        <w:separator/>
      </w:r>
    </w:p>
  </w:endnote>
  <w:endnote w:type="continuationSeparator" w:id="0">
    <w:p w14:paraId="77FB5E9C" w14:textId="77777777" w:rsidR="00EF4DA4" w:rsidRDefault="00EF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9C5F92" w:rsidRDefault="009C5F92" w:rsidP="008744BD">
    <w:pPr>
      <w:pStyle w:val="Fuzeile"/>
      <w:jc w:val="right"/>
    </w:pPr>
  </w:p>
  <w:p w14:paraId="7F566132" w14:textId="6DD9F2C0" w:rsidR="009C5F92" w:rsidRDefault="009C5F92"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9C5F92" w:rsidRDefault="009C5F92" w:rsidP="008744BD">
    <w:pPr>
      <w:pStyle w:val="Fuzeile"/>
      <w:jc w:val="right"/>
    </w:pPr>
    <w:r>
      <w:fldChar w:fldCharType="begin"/>
    </w:r>
    <w:r>
      <w:instrText>PAGE   \* MERGEFORMAT</w:instrText>
    </w:r>
    <w:r>
      <w:fldChar w:fldCharType="separate"/>
    </w:r>
    <w:r w:rsidR="000A7227">
      <w:rPr>
        <w:noProof/>
      </w:rPr>
      <w:t>24</w:t>
    </w:r>
    <w:r>
      <w:fldChar w:fldCharType="end"/>
    </w:r>
  </w:p>
  <w:p w14:paraId="5340DCF9" w14:textId="7A6A0F1A" w:rsidR="009C5F92" w:rsidRDefault="009C5F92"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799AD" w14:textId="77777777" w:rsidR="00EF4DA4" w:rsidRDefault="00EF4DA4">
      <w:r>
        <w:separator/>
      </w:r>
    </w:p>
  </w:footnote>
  <w:footnote w:type="continuationSeparator" w:id="0">
    <w:p w14:paraId="2BC82D03" w14:textId="77777777" w:rsidR="00EF4DA4" w:rsidRDefault="00EF4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9C5F92" w:rsidRDefault="009C5F9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A7227"/>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227"/>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3968"/>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398F"/>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25"/>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A46"/>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0231"/>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D6A69"/>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5F92"/>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8D6"/>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165C"/>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4DA4"/>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39329-5388-49AF-9C05-0D8E0A2A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6822</Words>
  <Characters>42980</Characters>
  <Application>Microsoft Office Word</Application>
  <DocSecurity>0</DocSecurity>
  <Lines>358</Lines>
  <Paragraphs>99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49703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230</cp:revision>
  <cp:lastPrinted>2019-11-27T08:29:00Z</cp:lastPrinted>
  <dcterms:created xsi:type="dcterms:W3CDTF">2019-10-02T13:09:00Z</dcterms:created>
  <dcterms:modified xsi:type="dcterms:W3CDTF">2020-03-03T20:23:00Z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