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b/>
          <w:bCs/>
          <w:lang w:val="it-IT"/>
        </w:rPr>
      </w:pPr>
      <w:r>
        <w:rPr>
          <w:b w:val="off"/>
          <w:bCs/>
          <w:i w:val="off"/>
          <w:lang w:val="it-IT"/>
        </w:rPr>
        <w:t>Sussidio economico aprile 2026, “500 euro per 12 mensilità”. I dettagli e chi può fare domanda</w:t>
      </w:r>
    </w:p>
    <w:p w14:paraId="00000002">
      <w:pPr>
        <w:rPr>
          <w:lang w:val="it-IT"/>
        </w:rPr>
      </w:pPr>
      <w:r>
        <w:rPr>
          <w:b w:val="off"/>
          <w:i w:val="off"/>
          <w:lang w:val="it-IT"/>
        </w:rPr>
        <w:t>Il contributo economico previsto per il Supporto Formazione e Lavoro nel 2026.</w:t>
      </w:r>
    </w:p>
    <w:p w14:paraId="00000003">
      <w:pPr>
        <w:rPr>
          <w:lang w:val="it-IT"/>
        </w:rPr>
      </w:pPr>
      <w:r>
        <w:rPr>
          <w:b w:val="off"/>
          <w:i w:val="off"/>
          <w:lang w:val="it-IT"/>
        </w:rPr>
        <w:t>Non è un semplice sussidio, ma un vero e proprio “</w:t>
      </w:r>
      <w:r>
        <w:rPr>
          <w:b/>
          <w:i w:val="off"/>
          <w:lang w:val="it-IT"/>
        </w:rPr>
        <w:t>patto d’azione</w:t>
      </w:r>
      <w:r>
        <w:rPr>
          <w:b w:val="off"/>
          <w:i w:val="off"/>
          <w:lang w:val="it-IT"/>
        </w:rPr>
        <w:t>“.</w:t>
      </w:r>
      <w:r>
        <w:rPr>
          <w:b w:val="off"/>
          <w:i w:val="off"/>
          <w:lang w:val="it-IT"/>
        </w:rPr>
        <w:t xml:space="preserve">  </w:t>
      </w:r>
      <w:r>
        <w:rPr>
          <w:b/>
          <w:i w:val="off"/>
          <w:lang w:val="it-IT"/>
        </w:rPr>
        <w:t>Il Supporto per la formazione e il lavoro</w:t>
      </w:r>
      <w:r>
        <w:rPr>
          <w:b w:val="off"/>
          <w:i w:val="off"/>
          <w:lang w:val="it-IT"/>
        </w:rPr>
        <w:t xml:space="preserve">  </w:t>
      </w:r>
      <w:r>
        <w:rPr>
          <w:b w:val="off"/>
          <w:i w:val="off"/>
          <w:lang w:val="it-IT"/>
        </w:rPr>
        <w:t>(</w:t>
      </w:r>
      <w:r>
        <w:rPr>
          <w:b/>
          <w:i w:val="off"/>
          <w:lang w:val="it-IT"/>
        </w:rPr>
        <w:t>SFL</w:t>
      </w:r>
      <w:r>
        <w:rPr>
          <w:b w:val="off"/>
          <w:i w:val="off"/>
          <w:lang w:val="it-IT"/>
        </w:rPr>
        <w:t>) nasce per colmare quel vuoto lasciato da chi si trova ai margini del mercato occupazionale, offrendo non solo un</w:t>
      </w:r>
      <w:r>
        <w:rPr>
          <w:b w:val="off"/>
          <w:i w:val="off"/>
          <w:lang w:val="it-IT"/>
        </w:rPr>
        <w:t xml:space="preserve">  </w:t>
      </w:r>
      <w:r>
        <w:rPr>
          <w:b/>
          <w:i w:val="off"/>
          <w:lang w:val="it-IT"/>
        </w:rPr>
        <w:t>paracadute economico</w:t>
      </w:r>
      <w:r>
        <w:rPr>
          <w:b w:val="off"/>
          <w:i w:val="off"/>
          <w:lang w:val="it-IT"/>
        </w:rPr>
        <w:t xml:space="preserve">, ma soprattutto una mappa per </w:t>
      </w:r>
      <w:r>
        <w:rPr>
          <w:b w:val="off"/>
          <w:i w:val="off"/>
          <w:lang w:val="it-IT"/>
        </w:rPr>
        <w:t>orientarsi tra corsi di riqualificazione, progetti collettivi e nuove opportunità professionali. È lo strumento dedicato a chi ha voglia di mettersi in gioco, trasformando l’attesa in competenze concrete.</w:t>
      </w:r>
    </w:p>
    <w:p w14:paraId="00000004">
      <w:pPr>
        <w:rPr>
          <w:b/>
          <w:bCs/>
          <w:lang w:val="it-IT"/>
        </w:rPr>
      </w:pPr>
      <w:r>
        <w:rPr>
          <w:b w:val="off"/>
          <w:bCs/>
          <w:i w:val="off"/>
          <w:lang w:val="it-IT"/>
        </w:rPr>
        <w:t>Dai 350 ai 700 euro: come funziona l’ingranaggio del beneficio</w:t>
      </w:r>
    </w:p>
    <w:p w14:paraId="00000005">
      <w:pPr>
        <w:rPr>
          <w:lang w:val="it-IT"/>
        </w:rPr>
      </w:pPr>
      <w:r>
        <w:rPr>
          <w:b w:val="off"/>
          <w:i w:val="off"/>
          <w:lang w:val="it-IT"/>
        </w:rPr>
        <w:t>Il cuore della misura batte al ritmo della partecipazione.</w:t>
      </w:r>
      <w:r>
        <w:rPr>
          <w:b w:val="off"/>
          <w:i w:val="off"/>
          <w:lang w:val="it-IT"/>
        </w:rPr>
        <w:t xml:space="preserve">  </w:t>
      </w:r>
      <w:r>
        <w:rPr>
          <w:b/>
          <w:i w:val="off"/>
          <w:lang w:val="it-IT"/>
        </w:rPr>
        <w:t>L’indennità di 350 euro mensili</w:t>
      </w:r>
      <w:r>
        <w:rPr>
          <w:b w:val="off"/>
          <w:i w:val="off"/>
          <w:lang w:val="it-IT"/>
        </w:rPr>
        <w:t xml:space="preserve">  </w:t>
      </w:r>
      <w:r>
        <w:rPr>
          <w:b w:val="off"/>
          <w:i w:val="off"/>
          <w:lang w:val="it-IT"/>
        </w:rPr>
        <w:t>(</w:t>
      </w:r>
      <w:r>
        <w:rPr>
          <w:b/>
          <w:i w:val="off"/>
          <w:lang w:val="it-IT"/>
        </w:rPr>
        <w:t>che diventano 500 in determinate condizioni di partecipazione attiva</w:t>
      </w:r>
      <w:r>
        <w:rPr>
          <w:b w:val="off"/>
          <w:i w:val="off"/>
          <w:lang w:val="it-IT"/>
        </w:rPr>
        <w:t>) non piove dal cielo: viene erogata tramite bonifico solo a chi dimostra di frequentare realmente i percorsi di formazione, il servizio civile o i progetti utili alla collettività.</w:t>
      </w:r>
    </w:p>
    <w:p w14:paraId="00000006">
      <w:pPr>
        <w:rPr>
          <w:lang w:val="it-IT"/>
        </w:rPr>
      </w:pPr>
      <w:r>
        <w:rPr>
          <w:b w:val="off"/>
          <w:i w:val="off"/>
          <w:lang w:val="it-IT"/>
        </w:rPr>
        <w:t>Il cronometro del beneficio corre per</w:t>
      </w:r>
      <w:r>
        <w:rPr>
          <w:b w:val="off"/>
          <w:i w:val="off"/>
          <w:lang w:val="it-IT"/>
        </w:rPr>
        <w:t xml:space="preserve">  </w:t>
      </w:r>
      <w:r>
        <w:rPr>
          <w:b/>
          <w:i w:val="off"/>
          <w:lang w:val="it-IT"/>
        </w:rPr>
        <w:t>12 mesi</w:t>
      </w:r>
      <w:r>
        <w:rPr>
          <w:b w:val="off"/>
          <w:i w:val="off"/>
          <w:lang w:val="it-IT"/>
        </w:rPr>
        <w:t>, ma il legislatore ha previsto una “seconda chance”: se al termine del primo anno l’</w:t>
      </w:r>
      <w:r>
        <w:rPr>
          <w:b/>
          <w:i w:val="off"/>
          <w:lang w:val="it-IT"/>
        </w:rPr>
        <w:t>impegno formativo</w:t>
      </w:r>
      <w:r>
        <w:rPr>
          <w:b w:val="off"/>
          <w:i w:val="off"/>
          <w:lang w:val="it-IT"/>
        </w:rPr>
        <w:t xml:space="preserve">  </w:t>
      </w:r>
      <w:r>
        <w:rPr>
          <w:b w:val="off"/>
          <w:i w:val="off"/>
          <w:lang w:val="it-IT"/>
        </w:rPr>
        <w:t>prosegue, il supporto può essere rinnovato per un ulteriore anno, previa revisione del progetto personalizzato.</w:t>
      </w:r>
    </w:p>
    <w:p w14:paraId="00000007">
      <w:pPr>
        <w:rPr>
          <w:lang w:val="it-IT"/>
        </w:rPr>
      </w:pPr>
      <w:r>
        <w:rPr>
          <w:b w:val="off"/>
          <w:i w:val="off"/>
          <w:lang w:val="it-IT"/>
        </w:rPr>
        <w:t>La flessibilità è un altro punto cardine: l’SFL non castiga chi trova un piccolo impiego. È infatti compatibile con contratti dipendenti o attività autonome, a patto che il reddito non superi le soglie previste per l’accesso alla misura.</w:t>
      </w:r>
    </w:p>
    <w:p w14:paraId="00000008">
      <w:pPr>
        <w:rPr>
          <w:lang w:val="it-IT"/>
        </w:rPr>
      </w:pPr>
      <w:r>
        <w:rPr>
          <w:b w:val="off"/>
          <w:i w:val="off"/>
          <w:lang w:val="it-IT"/>
        </w:rPr>
        <w:t>Supporto economico a membri famiglia Formazione lavoro</w:t>
      </w:r>
    </w:p>
    <w:p w14:paraId="00000009">
      <w:pPr>
        <w:rPr>
          <w:b/>
          <w:bCs/>
          <w:lang w:val="it-IT"/>
        </w:rPr>
      </w:pPr>
      <w:r>
        <w:rPr>
          <w:b w:val="off"/>
          <w:bCs/>
          <w:i w:val="off"/>
          <w:lang w:val="it-IT"/>
        </w:rPr>
        <w:t>I confini dell’accesso: chi sono i destinatari?</w:t>
      </w:r>
    </w:p>
    <w:p w14:paraId="0000000A">
      <w:pPr>
        <w:rPr>
          <w:lang w:val="it-IT"/>
        </w:rPr>
      </w:pPr>
      <w:r>
        <w:rPr>
          <w:b w:val="off"/>
          <w:i w:val="off"/>
          <w:lang w:val="it-IT"/>
        </w:rPr>
        <w:t xml:space="preserve">La platea si rivolge ai cosiddetti “occupabili” tra i 18 e i 59 anni. Si tratta di persone che non hanno i requisiti per l’Assegno di Inclusione (perché nel nucleo non ci sono minori, over 60 o persone con </w:t>
      </w:r>
      <w:r>
        <w:rPr>
          <w:b w:val="off"/>
          <w:i w:val="off"/>
          <w:lang w:val="it-IT"/>
        </w:rPr>
        <w:t>disabilità) o di componenti di famiglie già beneficiarie dell’</w:t>
      </w:r>
      <w:r>
        <w:rPr>
          <w:b/>
          <w:i w:val="off"/>
          <w:lang w:val="it-IT"/>
        </w:rPr>
        <w:t>AdI</w:t>
      </w:r>
      <w:r>
        <w:rPr>
          <w:b w:val="off"/>
          <w:i w:val="off"/>
          <w:lang w:val="it-IT"/>
        </w:rPr>
        <w:t xml:space="preserve">  </w:t>
      </w:r>
      <w:r>
        <w:rPr>
          <w:b w:val="off"/>
          <w:i w:val="off"/>
          <w:lang w:val="it-IT"/>
        </w:rPr>
        <w:t>ma non computati nella scala di equivalenza.</w:t>
      </w:r>
    </w:p>
    <w:p w14:paraId="0000000B">
      <w:pPr>
        <w:rPr>
          <w:lang w:val="it-IT"/>
        </w:rPr>
      </w:pPr>
      <w:r>
        <w:rPr>
          <w:b w:val="off"/>
          <w:i w:val="off"/>
          <w:lang w:val="it-IT"/>
        </w:rPr>
        <w:t>Per staccare il ticket d’ingresso, i paletti economici sono chiari:</w:t>
      </w:r>
      <w:r>
        <w:rPr>
          <w:b w:val="off"/>
          <w:i w:val="off"/>
          <w:lang w:val="it-IT"/>
        </w:rPr>
        <w:t xml:space="preserve">  </w:t>
      </w:r>
      <w:r>
        <w:rPr>
          <w:b/>
          <w:i w:val="off"/>
          <w:lang w:val="it-IT"/>
        </w:rPr>
        <w:t>ISEE familiare</w:t>
      </w:r>
      <w:r>
        <w:rPr>
          <w:b w:val="off"/>
          <w:i w:val="off"/>
          <w:lang w:val="it-IT"/>
        </w:rPr>
        <w:t xml:space="preserve">: massimo 10.140 euro;  </w:t>
      </w:r>
      <w:r>
        <w:rPr>
          <w:b w:val="off"/>
          <w:i w:val="off"/>
          <w:lang w:val="it-IT"/>
        </w:rPr>
        <w:t xml:space="preserve">  </w:t>
      </w:r>
      <w:r>
        <w:rPr>
          <w:b/>
          <w:i w:val="off"/>
          <w:lang w:val="it-IT"/>
        </w:rPr>
        <w:t>Patrimonio immobiliare</w:t>
      </w:r>
      <w:r>
        <w:rPr>
          <w:b w:val="off"/>
          <w:i w:val="off"/>
          <w:lang w:val="it-IT"/>
        </w:rPr>
        <w:t xml:space="preserve">: oltre alla prima casa (valore IMU entro i 150.000 euro), non si devono superare i 30.000 euro;  </w:t>
      </w:r>
      <w:r>
        <w:rPr>
          <w:b w:val="off"/>
          <w:i w:val="off"/>
          <w:lang w:val="it-IT"/>
        </w:rPr>
        <w:t xml:space="preserve">  </w:t>
      </w:r>
      <w:r>
        <w:rPr>
          <w:b/>
          <w:i w:val="off"/>
          <w:lang w:val="it-IT"/>
        </w:rPr>
        <w:t>Patrimonio mobiliare</w:t>
      </w:r>
      <w:r>
        <w:rPr>
          <w:b w:val="off"/>
          <w:i w:val="off"/>
          <w:lang w:val="it-IT"/>
        </w:rPr>
        <w:t>: il limite parte da 6.000 euro per i single, crescendo in base alla numerosità del nucleo e alla presenza di</w:t>
      </w:r>
      <w:r>
        <w:rPr>
          <w:b w:val="off"/>
          <w:i w:val="off"/>
          <w:lang w:val="it-IT"/>
        </w:rPr>
        <w:t xml:space="preserve">  </w:t>
      </w:r>
      <w:r>
        <w:rPr>
          <w:b/>
          <w:i w:val="off"/>
          <w:lang w:val="it-IT"/>
        </w:rPr>
        <w:t>disabilità</w:t>
      </w:r>
      <w:r>
        <w:rPr>
          <w:b w:val="off"/>
          <w:i w:val="off"/>
          <w:lang w:val="it-IT"/>
        </w:rPr>
        <w:t xml:space="preserve">;  </w:t>
      </w:r>
      <w:r>
        <w:rPr>
          <w:b w:val="off"/>
          <w:i w:val="off"/>
          <w:lang w:val="it-IT"/>
        </w:rPr>
        <w:t xml:space="preserve">  </w:t>
      </w:r>
      <w:r>
        <w:rPr>
          <w:b/>
          <w:i w:val="off"/>
          <w:lang w:val="it-IT"/>
        </w:rPr>
        <w:t>Stile di vita</w:t>
      </w:r>
      <w:r>
        <w:rPr>
          <w:b w:val="off"/>
          <w:i w:val="off"/>
          <w:lang w:val="it-IT"/>
        </w:rPr>
        <w:t>: niente auto di grossa cilindrata (&gt;1600 cc) o moto potenti (&gt;250 cc) acquistate negli ultimi tre anni.</w:t>
      </w:r>
    </w:p>
    <w:p w14:paraId="0000000C">
      <w:pPr>
        <w:rPr>
          <w:b/>
          <w:bCs/>
          <w:lang w:val="it-IT"/>
        </w:rPr>
      </w:pPr>
      <w:r>
        <w:rPr>
          <w:b w:val="off"/>
          <w:bCs/>
          <w:i w:val="off"/>
          <w:lang w:val="it-IT"/>
        </w:rPr>
        <w:t>La road map per l’attivazione: i passi da compiere</w:t>
      </w:r>
    </w:p>
    <w:p w14:paraId="0000000D">
      <w:pPr>
        <w:rPr>
          <w:lang w:val="it-IT"/>
        </w:rPr>
      </w:pPr>
      <w:r>
        <w:rPr>
          <w:b w:val="off"/>
          <w:i w:val="off"/>
          <w:lang w:val="it-IT"/>
        </w:rPr>
        <w:t>Entrare nel circuito SFL richiede una sequenza precisa di azioni digitali e fisiche. Si parte dal Caf o Patronato per la domanda, ma la vera partita si gioca sul portale</w:t>
      </w:r>
      <w:r>
        <w:rPr>
          <w:b/>
          <w:i w:val="off"/>
          <w:lang w:val="it-IT"/>
        </w:rPr>
        <w:t xml:space="preserve">  </w:t>
      </w:r>
      <w:r>
        <w:rPr>
          <w:b/>
          <w:i w:val="off"/>
          <w:lang w:val="it-IT"/>
        </w:rPr>
        <w:t>SIISL</w:t>
      </w:r>
      <w:r>
        <w:rPr>
          <w:b w:val="off"/>
          <w:i w:val="off"/>
          <w:lang w:val="it-IT"/>
        </w:rPr>
        <w:t>. Qui va sottoscritto il</w:t>
      </w:r>
      <w:r>
        <w:rPr>
          <w:b w:val="off"/>
          <w:i w:val="off"/>
          <w:lang w:val="it-IT"/>
        </w:rPr>
        <w:t xml:space="preserve">  </w:t>
      </w:r>
      <w:r>
        <w:rPr>
          <w:b/>
          <w:i w:val="off"/>
          <w:lang w:val="it-IT"/>
        </w:rPr>
        <w:t>Patto di Attivazione Digitale</w:t>
      </w:r>
      <w:r>
        <w:rPr>
          <w:b w:val="off"/>
          <w:i w:val="off"/>
          <w:lang w:val="it-IT"/>
        </w:rPr>
        <w:t xml:space="preserve">  </w:t>
      </w:r>
      <w:r>
        <w:rPr>
          <w:b w:val="off"/>
          <w:i w:val="off"/>
          <w:lang w:val="it-IT"/>
        </w:rPr>
        <w:t>(PAD), l’impegno formale in cui si indicano almeno tre agenzie per il lavoro con cui si intende collaborare.</w:t>
      </w:r>
    </w:p>
    <w:p w14:paraId="0000000E">
      <w:pPr>
        <w:rPr>
          <w:lang w:val="it-IT"/>
        </w:rPr>
      </w:pPr>
      <w:r>
        <w:rPr>
          <w:b w:val="off"/>
          <w:i w:val="off"/>
          <w:lang w:val="it-IT"/>
        </w:rPr>
        <w:t>Il cerchio si chiude con la chiamata del Centro per l’Impiego. Qui si firma il</w:t>
      </w:r>
      <w:r>
        <w:rPr>
          <w:b w:val="off"/>
          <w:i w:val="off"/>
          <w:lang w:val="it-IT"/>
        </w:rPr>
        <w:t xml:space="preserve">  </w:t>
      </w:r>
      <w:r>
        <w:rPr>
          <w:b/>
          <w:i w:val="off"/>
          <w:lang w:val="it-IT"/>
        </w:rPr>
        <w:t>Patto di Servizio Personalizzato</w:t>
      </w:r>
      <w:r>
        <w:rPr>
          <w:b w:val="off"/>
          <w:i w:val="off"/>
          <w:lang w:val="it-IT"/>
        </w:rPr>
        <w:t>: l’atto finale che dà il via libera definitivo all’invio di offerte di lavoro e all’inserimento nei corsi di formazione accreditati.</w:t>
      </w:r>
    </w:p>
    <w:p w14:paraId="0000000F"/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Stefy Mati</dc:creator>
  <cp:lastModifiedBy>Stefy Mati</cp:lastModifiedBy>
</cp:coreProperties>
</file>