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Discussion</w:t>
      </w:r>
    </w:p>
    <w:p>
      <w:pPr>
        <w:pStyle w:val="Heading2"/>
      </w:pPr>
      <w:r>
        <w:t>5.1 What the thesis set out to do and what it delivered</w:t>
      </w:r>
    </w:p>
    <w:p>
      <w:pPr>
        <w:ind w:firstLine="720"/>
        <w:jc w:val="both"/>
      </w:pPr>
      <w:r>
        <w:t xml:space="preserve">The main contribution of this thesis is a quality framework that the investigational site runs for itself during conduct, derived from ICH E6(R3), ISO 14155:2026, and MDR Annex XV </w:t>
      </w:r>
      <w:r>
        <w:rPr>
          <w:vertAlign w:val="subscript"/>
        </w:rPr>
        <w:t>[8, 10]</w:t>
      </w:r>
      <w: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 </w:t>
      </w:r>
      <w:r>
        <w:rPr>
          <w:vertAlign w:val="subscript"/>
        </w:rPr>
        <w:t>[6]</w:t>
      </w:r>
      <w: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pPr>
        <w:ind w:firstLine="720"/>
        <w:jc w:val="both"/>
      </w:pPr>
      <w: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pPr>
        <w:ind w:firstLine="720"/>
        <w:jc w:val="both"/>
      </w:pPr>
      <w:r>
        <w:t>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pPr>
        <w:ind w:firstLine="720"/>
        <w:jc w:val="both"/>
      </w:pPr>
      <w: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pPr>
        <w:ind w:firstLine="720"/>
        <w:jc w:val="both"/>
      </w:pPr>
      <w:r>
        <w:t xml:space="preserve">Gregor and Hevner classify a design contribution by how mature its problem and its solution are, and they call the transfer of a known solution to a new problem an exaptation </w:t>
      </w:r>
      <w:r>
        <w:rPr>
          <w:highlight w:val="yellow"/>
        </w:rPr>
        <w:t>[ref: Gregor and Hevner 2013]</w:t>
      </w:r>
      <w:r>
        <w:t xml:space="preserve">. Most of the framework is a contribution of this kind. A documented quality system is an established solution, run by the manufacturer under ISO 13485:2016 and ISO 14971:2019 and by the medical laboratory under ISO 15189:2022 </w:t>
      </w:r>
      <w:r>
        <w:rPr>
          <w:vertAlign w:val="subscript"/>
        </w:rPr>
        <w:t>[52, 53, 54]</w:t>
      </w:r>
      <w: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ind w:firstLine="720"/>
        <w:jc w:val="both"/>
      </w:pPr>
      <w: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pPr>
        <w:pStyle w:val="Heading2"/>
      </w:pPr>
      <w:r>
        <w:t>5.2 Position in the literature</w:t>
      </w:r>
    </w:p>
    <w:p>
      <w:pPr>
        <w:ind w:firstLine="720"/>
        <w:jc w:val="both"/>
      </w:pPr>
      <w:r>
        <w:t>The works we reviewed address four themes that bear on the framework (Table 5.1), and the text below discusses those that shaped the design.</w:t>
      </w:r>
    </w:p>
    <w:p>
      <w:pPr>
        <w:spacing w:before="120" w:after="80"/>
      </w:pPr>
      <w:r>
        <w:rPr>
          <w:i/>
          <w:sz w:val="20"/>
        </w:rPr>
        <w:t>Table 5.1. Works on quality in clinical investigations grouped by theme, with what each establishes and the response of the framework to each theme.</w:t>
      </w:r>
    </w:p>
    <w:p>
      <w:pPr>
        <w:spacing w:after="160"/>
        <w:jc w:val="center"/>
      </w:pPr>
      <w:r>
        <w:drawing>
          <wp:inline xmlns:a="http://schemas.openxmlformats.org/drawingml/2006/main" xmlns:pic="http://schemas.openxmlformats.org/drawingml/2006/picture">
            <wp:extent cx="5760720" cy="6899066"/>
            <wp:docPr id="1" name="Picture 1"/>
            <wp:cNvGraphicFramePr>
              <a:graphicFrameLocks noChangeAspect="1"/>
            </wp:cNvGraphicFramePr>
            <a:graphic>
              <a:graphicData uri="http://schemas.openxmlformats.org/drawingml/2006/picture">
                <pic:pic>
                  <pic:nvPicPr>
                    <pic:cNvPr id="0" name="tabela-5.1.png"/>
                    <pic:cNvPicPr/>
                  </pic:nvPicPr>
                  <pic:blipFill>
                    <a:blip r:embed="rId9"/>
                    <a:stretch>
                      <a:fillRect/>
                    </a:stretch>
                  </pic:blipFill>
                  <pic:spPr>
                    <a:xfrm>
                      <a:off x="0" y="0"/>
                      <a:ext cx="5760720" cy="6899066"/>
                    </a:xfrm>
                    <a:prstGeom prst="rect"/>
                  </pic:spPr>
                </pic:pic>
              </a:graphicData>
            </a:graphic>
          </wp:inline>
        </w:drawing>
      </w:r>
    </w:p>
    <w:p>
      <w:pPr>
        <w:ind w:firstLine="720"/>
        <w:jc w:val="both"/>
      </w:pPr>
      <w:r>
        <w:t xml:space="preserve">Risk-based quality management was developed for the party that designs and oversees a trial. The EMA reflection paper and the CTTI principles describe how a sponsor identifies critical factors and directs its oversight toward them </w:t>
      </w:r>
      <w:r>
        <w:rPr>
          <w:vertAlign w:val="subscript"/>
        </w:rPr>
        <w:t>[1, 55]</w:t>
      </w:r>
      <w:r>
        <w:t xml:space="preserve">, and the MDIC supplement carries the same reasoning to devices </w:t>
      </w:r>
      <w:r>
        <w:rPr>
          <w:vertAlign w:val="subscript"/>
        </w:rPr>
        <w:t>[34]</w:t>
      </w:r>
      <w:r>
        <w:t xml:space="preserve">. Sites meet this work through the sponsor, as a monitoring plan that arrives with the protocol </w:t>
      </w:r>
      <w:r>
        <w:rPr>
          <w:vertAlign w:val="subscript"/>
        </w:rPr>
        <w:t>[46]</w:t>
      </w:r>
      <w:r>
        <w:t xml:space="preserve">. Only 19.6% of the Portuguese sites in one survey described a tool that captured risk analysis at site level </w:t>
      </w:r>
      <w:r>
        <w:rPr>
          <w:vertAlign w:val="subscript"/>
        </w:rPr>
        <w:t>[77]</w:t>
      </w:r>
      <w:r>
        <w:t xml:space="preserve">, and in the RBQM adoption survey identification of CtQ factors was among the least used practices even among sponsors </w:t>
      </w:r>
      <w:r>
        <w:rPr>
          <w:vertAlign w:val="subscript"/>
        </w:rPr>
        <w:t>[13]</w:t>
      </w:r>
      <w: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pPr>
        <w:ind w:firstLine="720"/>
        <w:jc w:val="both"/>
      </w:pPr>
      <w:r>
        <w:t xml:space="preserve">Surgical methodology knows operator learning well and controls it before the trial starts. The challenges reported for surgical quality assurance fall under credentialing and standardization, while monitoring during the trial is rarely implemented </w:t>
      </w:r>
      <w:r>
        <w:rPr>
          <w:vertAlign w:val="subscript"/>
        </w:rPr>
        <w:t>[35]</w:t>
      </w:r>
      <w:r>
        <w:t xml:space="preserve">, and the review of arteriovenous graft trials found no trial that assessed technical performance </w:t>
      </w:r>
      <w:r>
        <w:rPr>
          <w:vertAlign w:val="subscript"/>
        </w:rPr>
        <w:t>[39]</w:t>
      </w:r>
      <w:r>
        <w:t xml:space="preserve">. Among 247 randomized surgical trials, 39% predefined surgeon credentials and only one analyzed learning </w:t>
      </w:r>
      <w:r>
        <w:rPr>
          <w:vertAlign w:val="subscript"/>
        </w:rPr>
        <w:t>[72]</w:t>
      </w:r>
      <w:r>
        <w:t xml:space="preserve">. The IDEAL recommendations already proposed statistical process control to follow learning curves </w:t>
      </w:r>
      <w:r>
        <w:rPr>
          <w:vertAlign w:val="subscript"/>
        </w:rPr>
        <w:t>[18]</w:t>
      </w:r>
      <w:r>
        <w:t>,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pPr>
        <w:ind w:firstLine="720"/>
        <w:jc w:val="both"/>
      </w:pPr>
      <w:r>
        <w:t xml:space="preserve">Site performance is mostly measured by others. The Clinical Trial Site Performance Measure reduced 126 candidate indicators to 18 in six academic hospitals </w:t>
      </w:r>
      <w:r>
        <w:rPr>
          <w:vertAlign w:val="subscript"/>
        </w:rPr>
        <w:t>[41]</w:t>
      </w:r>
      <w:r>
        <w:t xml:space="preserve">,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 </w:t>
      </w:r>
      <w:r>
        <w:rPr>
          <w:vertAlign w:val="subscript"/>
        </w:rPr>
        <w:t>[44]</w:t>
      </w:r>
      <w:r>
        <w:t xml:space="preserve">, and in implantable cardiac device trials the worst-performing sites improved once a sponsor ranked them </w:t>
      </w:r>
      <w:r>
        <w:rPr>
          <w:vertAlign w:val="subscript"/>
        </w:rPr>
        <w:t>[48]</w:t>
      </w:r>
      <w:r>
        <w:t>. In both cases the improvement followed a signal that reached the site from outside, and the framework places the origin of that signal inside the site, earlier in the conduct.</w:t>
      </w:r>
    </w:p>
    <w:p>
      <w:pPr>
        <w:ind w:firstLine="720"/>
        <w:jc w:val="both"/>
      </w:pPr>
      <w:r>
        <w:t xml:space="preserve">The few quality structures that sites hold today depend on resources. The CTAIM supports an annual self-assessment of a research program's infrastructure </w:t>
      </w:r>
      <w:r>
        <w:rPr>
          <w:vertAlign w:val="subscript"/>
        </w:rPr>
        <w:t>[30]</w:t>
      </w:r>
      <w:r>
        <w:t xml:space="preserve">, and Italian trial centers that considered ISO 9001 certification reported organizational workload and insufficient training as the main barriers </w:t>
      </w:r>
      <w:r>
        <w:rPr>
          <w:vertAlign w:val="subscript"/>
        </w:rPr>
        <w:t>[31]</w:t>
      </w:r>
      <w:r>
        <w:t xml:space="preserve">. Academic institutions add research management systems and trial units whose senior staff rank quality management among their essential services </w:t>
      </w:r>
      <w:r>
        <w:rPr>
          <w:vertAlign w:val="subscript"/>
        </w:rPr>
        <w:t>[89, 90]</w:t>
      </w:r>
      <w: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pPr>
        <w:pStyle w:val="Heading2"/>
      </w:pPr>
      <w:r>
        <w:t>5.3 Putting the framework to work</w:t>
      </w:r>
    </w:p>
    <w:p>
      <w:pPr>
        <w:ind w:firstLine="720"/>
        <w:jc w:val="both"/>
      </w:pPr>
      <w: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Heading3"/>
      </w:pPr>
      <w:r>
        <w:t>5.3.1 A route through the lifecycle</w:t>
      </w:r>
    </w:p>
    <w:p>
      <w:pPr>
        <w:ind w:firstLine="720"/>
        <w:jc w:val="both"/>
      </w:pPr>
      <w: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pPr>
        <w:ind w:firstLine="720"/>
        <w:jc w:val="both"/>
      </w:pPr>
      <w: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pPr>
        <w:ind w:firstLine="720"/>
        <w:jc w:val="both"/>
      </w:pPr>
      <w:r>
        <w:t>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pPr>
        <w:ind w:firstLine="720"/>
        <w:jc w:val="both"/>
      </w:pPr>
      <w: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pPr>
        <w:pStyle w:val="Heading1"/>
      </w:pPr>
      <w: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pPr>
        <w:ind w:firstLine="720"/>
        <w:jc w:val="both"/>
      </w:pPr>
      <w: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pPr>
        <w:ind w:firstLine="720"/>
        <w:jc w:val="both"/>
      </w:pPr>
      <w: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pPr>
        <w:ind w:firstLine="720"/>
        <w:jc w:val="both"/>
      </w:pPr>
      <w:r>
        <w:t>8. Internal verification runs its first review after the first inclusions, earlier than its routine schedule, and the learning curve review follows each surgeon's first cases, while the first safety review takes place soon after the first procedures. Problems of a new workflow are then found while few participants have been exposed to them.</w:t>
      </w:r>
    </w:p>
    <w:p>
      <w:pPr>
        <w:ind w:firstLine="720"/>
        <w:jc w:val="both"/>
      </w:pPr>
      <w:r>
        <w:t>9. An event that meets an escalation trigger in the CCDM goes to the PI without waiting for the next review, and the POT records the PI's decision.</w:t>
      </w:r>
    </w:p>
    <w:p>
      <w:pPr>
        <w:ind w:firstLine="720"/>
        <w:jc w:val="both"/>
      </w:pPr>
      <w: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Heading3"/>
      </w:pPr>
      <w:r>
        <w:t>5.3.2 The review cycle</w:t>
      </w:r>
    </w:p>
    <w:p>
      <w:pPr>
        <w:ind w:firstLine="720"/>
        <w:jc w:val="both"/>
      </w:pPr>
      <w: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pPr>
        <w:ind w:firstLine="720"/>
        <w:jc w:val="both"/>
      </w:pPr>
      <w:r>
        <w:t>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the indicator that prompted it returns under control.</w:t>
      </w:r>
    </w:p>
    <w:p>
      <w:pPr>
        <w:ind w:firstLine="720"/>
        <w:jc w:val="both"/>
      </w:pPr>
      <w: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Heading3"/>
      </w:pPr>
      <w:r>
        <w:t>5.3.3 Where implementation is likely to fail</w:t>
      </w:r>
    </w:p>
    <w:p>
      <w:pPr>
        <w:ind w:firstLine="720"/>
        <w:jc w:val="both"/>
      </w:pPr>
      <w: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pPr>
        <w:spacing w:before="120" w:after="80"/>
      </w:pPr>
      <w:r>
        <w:rPr>
          <w:i/>
          <w:sz w:val="20"/>
        </w:rPr>
        <w:t>Table 5.2. Our assessment of the most likely failures in operating the framework, ordered by lifecycle phase, with what each failure costs and the guard in the design.</w:t>
      </w:r>
    </w:p>
    <w:p>
      <w:pPr>
        <w:spacing w:after="160"/>
        <w:jc w:val="center"/>
      </w:pPr>
      <w:r>
        <w:drawing>
          <wp:inline xmlns:a="http://schemas.openxmlformats.org/drawingml/2006/main" xmlns:pic="http://schemas.openxmlformats.org/drawingml/2006/picture">
            <wp:extent cx="5760720" cy="3496757"/>
            <wp:docPr id="2" name="Picture 2"/>
            <wp:cNvGraphicFramePr>
              <a:graphicFrameLocks noChangeAspect="1"/>
            </wp:cNvGraphicFramePr>
            <a:graphic>
              <a:graphicData uri="http://schemas.openxmlformats.org/drawingml/2006/picture">
                <pic:pic>
                  <pic:nvPicPr>
                    <pic:cNvPr id="0" name="tabela-5.2.png"/>
                    <pic:cNvPicPr/>
                  </pic:nvPicPr>
                  <pic:blipFill>
                    <a:blip r:embed="rId10"/>
                    <a:stretch>
                      <a:fillRect/>
                    </a:stretch>
                  </pic:blipFill>
                  <pic:spPr>
                    <a:xfrm>
                      <a:off x="0" y="0"/>
                      <a:ext cx="5760720" cy="3496757"/>
                    </a:xfrm>
                    <a:prstGeom prst="rect"/>
                  </pic:spPr>
                </pic:pic>
              </a:graphicData>
            </a:graphic>
          </wp:inline>
        </w:drawing>
      </w:r>
    </w:p>
    <w:p>
      <w:pPr>
        <w:ind w:firstLine="720"/>
        <w:jc w:val="both"/>
      </w:pPr>
      <w:r>
        <w:t>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Heading3"/>
      </w:pPr>
      <w:r>
        <w:t>5.3.4 What the framework is expected to change</w:t>
      </w:r>
    </w:p>
    <w:p>
      <w:pPr>
        <w:ind w:firstLine="720"/>
        <w:jc w:val="both"/>
      </w:pPr>
      <w: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pPr>
        <w:spacing w:before="120" w:after="80"/>
      </w:pPr>
      <w:r>
        <w:rPr>
          <w:i/>
          <w:sz w:val="20"/>
        </w:rPr>
        <w:t>Table 5.3. The propositions on the effects of the framework, ordered by the phase in which each effect should first appear, with the mechanism, the observation that would refute it, and the measure that would test it.</w:t>
      </w:r>
    </w:p>
    <w:p>
      <w:pPr>
        <w:spacing w:after="160"/>
        <w:jc w:val="center"/>
      </w:pPr>
      <w:r>
        <w:drawing>
          <wp:inline xmlns:a="http://schemas.openxmlformats.org/drawingml/2006/main" xmlns:pic="http://schemas.openxmlformats.org/drawingml/2006/picture">
            <wp:extent cx="5760720" cy="2229399"/>
            <wp:docPr id="3" name="Picture 3"/>
            <wp:cNvGraphicFramePr>
              <a:graphicFrameLocks noChangeAspect="1"/>
            </wp:cNvGraphicFramePr>
            <a:graphic>
              <a:graphicData uri="http://schemas.openxmlformats.org/drawingml/2006/picture">
                <pic:pic>
                  <pic:nvPicPr>
                    <pic:cNvPr id="0" name="tabela-5.3.png"/>
                    <pic:cNvPicPr/>
                  </pic:nvPicPr>
                  <pic:blipFill>
                    <a:blip r:embed="rId11"/>
                    <a:stretch>
                      <a:fillRect/>
                    </a:stretch>
                  </pic:blipFill>
                  <pic:spPr>
                    <a:xfrm>
                      <a:off x="0" y="0"/>
                      <a:ext cx="5760720" cy="2229399"/>
                    </a:xfrm>
                    <a:prstGeom prst="rect"/>
                  </pic:spPr>
                </pic:pic>
              </a:graphicData>
            </a:graphic>
          </wp:inline>
        </w:drawing>
      </w:r>
    </w:p>
    <w:p>
      <w:pPr>
        <w:ind w:firstLine="720"/>
        <w:jc w:val="both"/>
      </w:pPr>
      <w: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pPr>
        <w:pStyle w:val="Heading3"/>
      </w:pPr>
      <w:r>
        <w:t>5.3.5 Does documentation improve conduct?</w:t>
      </w:r>
    </w:p>
    <w:p>
      <w:pPr>
        <w:ind w:firstLine="720"/>
        <w:jc w:val="both"/>
      </w:pPr>
      <w:r>
        <w:t>A site can record its conduct impeccably and still conduct itself badly, and nothing in this thesis settles whether documenting a practice improves it. The claim we can defend is narrower, since controls written for a specific activity leave fewer gaps open, so the framework 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pPr>
        <w:ind w:firstLine="720"/>
        <w:jc w:val="both"/>
      </w:pPr>
      <w: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pPr>
        <w:ind w:firstLine="720"/>
        <w:jc w:val="both"/>
      </w:pPr>
      <w: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pPr>
        <w:ind w:firstLine="720"/>
        <w:jc w:val="both"/>
      </w:pPr>
      <w: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pPr>
        <w:pStyle w:val="Heading2"/>
      </w:pPr>
      <w:r>
        <w:t>5.4 Scaling and transfer</w:t>
      </w:r>
    </w:p>
    <w:p>
      <w:pPr>
        <w:ind w:firstLine="720"/>
        <w:jc w:val="both"/>
      </w:pPr>
      <w:r>
        <w:t xml:space="preserve">Many of the organizations the framework was designed for have no structure dedicated to research. A private site is expected to assemble standard operating procedures and trained staff, together with the infrastructure research requires, before it enters the field </w:t>
      </w:r>
      <w:r>
        <w:rPr>
          <w:vertAlign w:val="subscript"/>
        </w:rPr>
        <w:t>[74]</w:t>
      </w:r>
      <w:r>
        <w:t>.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pPr>
        <w:pStyle w:val="Heading3"/>
      </w:pPr>
      <w:r>
        <w:t>5.4.1 The minimum level and its trade-offs</w:t>
      </w:r>
    </w:p>
    <w:p>
      <w:pPr>
        <w:ind w:firstLine="720"/>
        <w:jc w:val="both"/>
      </w:pPr>
      <w: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pPr>
        <w:ind w:firstLine="720"/>
        <w:jc w:val="both"/>
      </w:pPr>
      <w: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pPr>
        <w:ind w:firstLine="720"/>
        <w:jc w:val="both"/>
      </w:pPr>
      <w: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pPr>
        <w:pStyle w:val="Heading3"/>
      </w:pPr>
      <w:r>
        <w:t>5.4.2 Instruments that outlive the investigation</w:t>
      </w:r>
    </w:p>
    <w:p>
      <w:pPr>
        <w:ind w:firstLine="720"/>
        <w:jc w:val="both"/>
      </w:pPr>
      <w:r>
        <w:t>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spacing w:before="120" w:after="80"/>
      </w:pPr>
      <w:r>
        <w:rPr>
          <w:i/>
          <w:sz w:val="20"/>
        </w:rPr>
        <w:t>Table 5.4. The twenty-four instruments classified by whether the site keeps them across investigations, keeps their structure with content specific to each investigation, or opens them again for each investigation.</w:t>
      </w:r>
    </w:p>
    <w:p>
      <w:pPr>
        <w:spacing w:after="160"/>
        <w:jc w:val="center"/>
      </w:pPr>
      <w:r>
        <w:drawing>
          <wp:inline xmlns:a="http://schemas.openxmlformats.org/drawingml/2006/main" xmlns:pic="http://schemas.openxmlformats.org/drawingml/2006/picture">
            <wp:extent cx="5760720" cy="1670609"/>
            <wp:docPr id="4" name="Picture 4"/>
            <wp:cNvGraphicFramePr>
              <a:graphicFrameLocks noChangeAspect="1"/>
            </wp:cNvGraphicFramePr>
            <a:graphic>
              <a:graphicData uri="http://schemas.openxmlformats.org/drawingml/2006/picture">
                <pic:pic>
                  <pic:nvPicPr>
                    <pic:cNvPr id="0" name="tabela-5.4.png"/>
                    <pic:cNvPicPr/>
                  </pic:nvPicPr>
                  <pic:blipFill>
                    <a:blip r:embed="rId12"/>
                    <a:stretch>
                      <a:fillRect/>
                    </a:stretch>
                  </pic:blipFill>
                  <pic:spPr>
                    <a:xfrm>
                      <a:off x="0" y="0"/>
                      <a:ext cx="5760720" cy="1670609"/>
                    </a:xfrm>
                    <a:prstGeom prst="rect"/>
                  </pic:spPr>
                </pic:pic>
              </a:graphicData>
            </a:graphic>
          </wp:inline>
        </w:drawing>
      </w:r>
    </w:p>
    <w:p>
      <w:pPr>
        <w:ind w:firstLine="720"/>
        <w:jc w:val="both"/>
      </w:pPr>
      <w: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pPr>
        <w:jc w:val="both"/>
      </w:pPr>
      <w:r>
        <w:rPr>
          <w:highlight w:val="yellow"/>
        </w:rPr>
        <w:t>[Number to compute from the final registry dataset: organizations in the sample with more than one investigation, overall and among nonhospital organizations.]</w:t>
      </w:r>
    </w:p>
    <w:p>
      <w:pPr>
        <w:ind w:firstLine="720"/>
        <w:jc w:val="both"/>
      </w:pPr>
      <w: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pPr>
        <w:pStyle w:val="Heading3"/>
      </w:pPr>
      <w:r>
        <w:t>5.4.3 Transfer to other specialties</w:t>
      </w:r>
    </w:p>
    <w:p>
      <w:pPr>
        <w:ind w:firstLine="720"/>
        <w:jc w:val="both"/>
      </w:pPr>
      <w:r>
        <w:t>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pPr>
        <w:pStyle w:val="Heading3"/>
      </w:pPr>
      <w:r>
        <w:t>5.4.4 Transfer to other jurisdictions and editions</w:t>
      </w:r>
    </w:p>
    <w:p>
      <w:pPr>
        <w:ind w:firstLine="720"/>
        <w:jc w:val="both"/>
      </w:pPr>
      <w: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ind w:firstLine="720"/>
        <w:jc w:val="both"/>
      </w:pPr>
      <w:r>
        <w:t xml:space="preserve">Under 21 CFR Part 812, the investigator reports an unanticipated adverse device effect to the sponsor and to the institutional review board within ten working days of first learning of it </w:t>
      </w:r>
      <w:r>
        <w:rPr>
          <w:vertAlign w:val="subscript"/>
        </w:rPr>
        <w:t>[12]</w:t>
      </w:r>
      <w: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pPr>
        <w:ind w:firstLine="720"/>
        <w:jc w:val="both"/>
      </w:pPr>
      <w:r>
        <w:t xml:space="preserve">Within the European Union, the version of ISO 14155 with a presumption of conformity under the MDR is still EN ISO 14155:2020+A11:2024 </w:t>
      </w:r>
      <w:r>
        <w:rPr>
          <w:vertAlign w:val="subscript"/>
        </w:rPr>
        <w:t>[9]</w:t>
      </w:r>
      <w: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pPr>
        <w:pStyle w:val="Heading2"/>
      </w:pPr>
      <w:r>
        <w:t>5.5 Implications</w:t>
      </w:r>
    </w:p>
    <w:p>
      <w:pPr>
        <w:pStyle w:val="Heading3"/>
      </w:pPr>
      <w:r>
        <w:t>5.5.1 For the investigational site</w:t>
      </w:r>
    </w:p>
    <w:p>
      <w:pPr>
        <w:ind w:firstLine="720"/>
        <w:jc w:val="both"/>
      </w:pPr>
      <w: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ind w:firstLine="720"/>
        <w:jc w:val="both"/>
      </w:pPr>
      <w:r>
        <w:t xml:space="preserve">That account costs staff time, and the way sites are paid decides whether anyone covers it. Research payments from industry are expected to reflect the fair market value of the work performed </w:t>
      </w:r>
      <w:r>
        <w:rPr>
          <w:highlight w:val="yellow"/>
        </w:rPr>
        <w:t>[ref: Breault and Knafl 2020]</w:t>
      </w:r>
      <w:r>
        <w:t xml:space="preserve">, and site budgets are negotiated item by item with the sponsor. In one review of ten industry-sponsored trials, the final budgets exceeded the sponsors' initial proposals by 59% on average, and the costs of preparing the trial were among the items that changed most </w:t>
      </w:r>
      <w:r>
        <w:rPr>
          <w:highlight w:val="yellow"/>
        </w:rPr>
        <w:t>[ref: Koulizakos et al. 2023]</w:t>
      </w:r>
      <w: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pPr>
        <w:ind w:firstLine="720"/>
        <w:jc w:val="both"/>
      </w:pPr>
      <w: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pPr>
        <w:pStyle w:val="Heading3"/>
      </w:pPr>
      <w:r>
        <w:t>5.5.2 For sponsors, contract research organizations, and monitors</w:t>
      </w:r>
    </w:p>
    <w:p>
      <w:pPr>
        <w:ind w:firstLine="720"/>
        <w:jc w:val="both"/>
      </w:pPr>
      <w:r>
        <w:t>The framework is meant to complement the sponsor's quality system. It does not duplicate sponsor monitoring, which would consume resources the target center does not have, and it is not absorbed into the sponsor's system, which would remove the site layer it exists to create. The two systems work at different levels, since the sponsor oversees a trial across many sites and the site controls its own processes. The structure of the framework belongs to the site and serves every investigation it conducts, whatever the sponsor, while its content adapts to each investigation, from the CtQ factors and reporting intervals of the CIP to the templates and systems the sponsor requires.</w:t>
      </w:r>
    </w:p>
    <w:p>
      <w:pPr>
        <w:ind w:firstLine="720"/>
        <w:jc w:val="both"/>
      </w:pPr>
      <w:r>
        <w:t xml:space="preserve">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 </w:t>
      </w:r>
      <w:r>
        <w:rPr>
          <w:vertAlign w:val="subscript"/>
        </w:rPr>
        <w:t>[43]</w:t>
      </w:r>
      <w:r>
        <w:t>, and the framework builds some of them. We found no study measuring how much monitoring time this saves.</w:t>
      </w:r>
    </w:p>
    <w:p>
      <w:pPr>
        <w:ind w:firstLine="720"/>
        <w:jc w:val="both"/>
      </w:pPr>
      <w: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pPr>
        <w:ind w:firstLine="720"/>
        <w:jc w:val="both"/>
      </w:pPr>
      <w:r>
        <w:t xml:space="preserve">Only one of 247 randomized surgical trials analyzed learning effects </w:t>
      </w:r>
      <w:r>
        <w:rPr>
          <w:vertAlign w:val="subscript"/>
        </w:rPr>
        <w:t>[72]</w:t>
      </w:r>
      <w: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pPr>
        <w:ind w:firstLine="720"/>
        <w:jc w:val="both"/>
      </w:pPr>
      <w: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pPr>
        <w:ind w:firstLine="720"/>
        <w:jc w:val="both"/>
      </w:pPr>
      <w: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pPr>
        <w:pStyle w:val="Heading3"/>
      </w:pPr>
      <w:r>
        <w:t>5.5.3 For standards and regulators</w:t>
      </w:r>
    </w:p>
    <w:p>
      <w:pPr>
        <w:ind w:firstLine="720"/>
        <w:jc w:val="both"/>
      </w:pPr>
      <w: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pPr>
        <w:ind w:firstLine="720"/>
        <w:jc w:val="both"/>
      </w:pPr>
      <w: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pPr>
        <w:ind w:firstLine="720"/>
        <w:jc w:val="both"/>
      </w:pPr>
      <w: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pPr>
        <w:pStyle w:val="Heading3"/>
      </w:pPr>
      <w:r>
        <w:t>5.5.4 Ethical implications</w:t>
      </w:r>
    </w:p>
    <w:p>
      <w:pPr>
        <w:ind w:firstLine="720"/>
        <w:jc w:val="both"/>
      </w:pPr>
      <w: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 </w:t>
      </w:r>
      <w:r>
        <w:rPr>
          <w:vertAlign w:val="subscript"/>
        </w:rPr>
        <w:t>[67, 68]</w:t>
      </w:r>
      <w:r>
        <w:t xml:space="preserve"> that a single site rarely allows.</w:t>
      </w:r>
    </w:p>
    <w:p>
      <w:pPr>
        <w:ind w:firstLine="720"/>
        <w:jc w:val="both"/>
      </w:pPr>
      <w: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pPr>
        <w:pStyle w:val="Heading2"/>
      </w:pPr>
      <w:r>
        <w:t>5.6 Evaluation, limitations, and further research</w:t>
      </w:r>
    </w:p>
    <w:p>
      <w:pPr>
        <w:pStyle w:val="Heading3"/>
      </w:pPr>
      <w:r>
        <w:t>5.6.1 The evaluation this thesis performed</w:t>
      </w:r>
    </w:p>
    <w:p>
      <w:pPr>
        <w:ind w:firstLine="720"/>
        <w:jc w:val="both"/>
      </w:pPr>
      <w:r>
        <w:t xml:space="preserve">The Design Science Research Methodology has six activities, and this thesis reports the first three, which run from problem identification to design and development, together with the last, communication </w:t>
      </w:r>
      <w:r>
        <w:rPr>
          <w:vertAlign w:val="subscript"/>
        </w:rPr>
        <w:t>[49]</w:t>
      </w:r>
      <w:r>
        <w:t xml:space="preserve">.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 </w:t>
      </w:r>
      <w:r>
        <w:rPr>
          <w:highlight w:val="yellow"/>
        </w:rPr>
        <w:t>[ref: Sonnenberg and vom Brocke 2012]</w:t>
      </w:r>
      <w:r>
        <w:t xml:space="preserve">.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 </w:t>
      </w:r>
      <w:r>
        <w:rPr>
          <w:highlight w:val="yellow"/>
        </w:rPr>
        <w:t>[ref: Venable et al. 2016]</w:t>
      </w:r>
      <w: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pPr>
        <w:pStyle w:val="Heading3"/>
      </w:pPr>
      <w:r>
        <w:t>5.6.2 Limitations</w:t>
      </w:r>
    </w:p>
    <w:p>
      <w:pPr>
        <w:ind w:firstLine="720"/>
        <w:jc w:val="both"/>
      </w:pPr>
      <w: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ind w:firstLine="720"/>
        <w:jc w:val="both"/>
      </w:pPr>
      <w: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ind w:firstLine="720"/>
        <w:jc w:val="both"/>
      </w:pPr>
      <w: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ind w:firstLine="720"/>
        <w:jc w:val="both"/>
      </w:pPr>
      <w: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pPr>
        <w:ind w:firstLine="720"/>
        <w:jc w:val="both"/>
      </w:pPr>
      <w: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ind w:firstLine="720"/>
        <w:jc w:val="both"/>
      </w:pPr>
      <w: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Heading3"/>
      </w:pPr>
      <w:r>
        <w:t>5.6.3 Further research</w:t>
      </w:r>
    </w:p>
    <w:p>
      <w:pPr>
        <w:ind w:firstLine="720"/>
        <w:jc w:val="both"/>
      </w:pPr>
      <w:r>
        <w:t xml:space="preserve">The framework has completed the development phase of a complex intervention, and the phases that follow, from feasibility to implementation, do not have to come in strict order </w:t>
      </w:r>
      <w:r>
        <w:rPr>
          <w:highlight w:val="yellow"/>
        </w:rPr>
        <w:t>[ref: Skivington et al. 2021]</w:t>
      </w:r>
      <w: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ind w:firstLine="720"/>
        <w:jc w:val="both"/>
      </w:pPr>
      <w: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ind w:firstLine="720"/>
        <w:jc w:val="both"/>
      </w:pPr>
      <w:r>
        <w:t xml:space="preserve">Before-and-after comparisons at one site are likely to report an improvement whatever the framework does. In surgical oncology, 86 of 97 non-randomized studies of quality improvement reported a positive effect, against 2 of 12 randomized trials </w:t>
      </w:r>
      <w:r>
        <w:rPr>
          <w:vertAlign w:val="subscript"/>
        </w:rPr>
        <w:t>[40]</w:t>
      </w:r>
      <w: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pPr>
        <w:ind w:firstLine="720"/>
        <w:jc w:val="both"/>
      </w:pPr>
      <w: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ind w:firstLine="720"/>
        <w:jc w:val="both"/>
      </w:pPr>
      <w:r>
        <w:t>Mapping each instrument to 21 CFR Part 812 would test the transfer to the regime under which most of the nonhospital organizations in the registry operate, again without a new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