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Discussion</w:t>
      </w:r>
    </w:p>
    <w:p>
      <w:pPr>
        <w:pStyle w:val="Heading2"/>
      </w:pPr>
      <w:r>
        <w:t>5.1 What the thesis set out to do and what it delivered</w:t>
      </w:r>
    </w:p>
    <w:p>
      <w:pPr>
        <w:ind w:firstLine="720"/>
        <w:jc w:val="both"/>
      </w:pPr>
      <w:r>
        <w:t xml:space="preserve">Section 1.5 asked what structure a site can use to carry its part of the responsibility for quality during conduct. The question came from a change in how quality is governed. Under the older arrangement the sponsor assured quality through monitoring visits, source data verification, and audit, so the site supplied the conduct and another party held the evidence that the conduct had been controlled. ICH E6(R3) now asks the investigator to put processes in place and to make sure that qualified staff and adequate resources support quality at the site </w:t>
      </w:r>
      <w:r>
        <w:rPr>
          <w:vertAlign w:val="subscript"/>
        </w:rPr>
        <w:t>[6]</w:t>
      </w:r>
      <w:r>
        <w:t>. It does not say what the investigator should produce to show that this was done. Conducting an investigation well and showing that the site controlled its conduct have become two separate achievements, and a careful site can reach the first without the second.</w:t>
      </w:r>
    </w:p>
    <w:p>
      <w:pPr>
        <w:ind w:firstLine="720"/>
        <w:jc w:val="both"/>
      </w:pPr>
      <w:r>
        <w:t xml:space="preserve">The four objectives were met at the level of design. The clause-by-clause comparison of ICH E6(R3), ISO 14155:2026, and MDR Annex XV </w:t>
      </w:r>
      <w:r>
        <w:rPr>
          <w:vertAlign w:val="subscript"/>
        </w:rPr>
        <w:t>[8, 10]</w:t>
      </w:r>
      <w:r>
        <w:t xml:space="preserve"> produced five site-level gaps. The analysis of CtQ domains produced twelve domains, kept apart from the trial-level factors that the sponsor defines. These results and the operating conditions of the target center gave twelve design requirements, and Chapter 4 answered them with four pillars, twenty-four instruments, a lifecycle, and a scalability model, each part traced to the requirement it answers. No objective was met at the level of use, because no site has operated the framework. The thesis therefore shows that a site-level framework can be derived from the texts that govern device investigations, and that each component answers a gap, a domain, or an operating condition. What it expects, and has not measured, is that a site using the framework detects problems earlier and loses less information than a site without it.</w:t>
      </w:r>
    </w:p>
    <w:p>
      <w:pPr>
        <w:ind w:firstLine="720"/>
        <w:jc w:val="both"/>
      </w:pPr>
      <w:r>
        <w:t xml:space="preserve">The design-science literature classifies a contribution by how mature the problem is and how mature the solution is, and calls the application of a known solution to a new problem an exaptation </w:t>
      </w:r>
      <w:r>
        <w:rPr>
          <w:highlight w:val="yellow"/>
        </w:rPr>
        <w:t>[ref: Gregor and Hevner 2013]</w:t>
      </w:r>
      <w:r>
        <w:t xml:space="preserve">. Most of the framework fits that description. A documented quality system is a known solution, run by the manufacturer under ISO 13485:2016 and ISO 14971:2019 and by the medical laboratory under ISO 15189:2022 </w:t>
      </w:r>
      <w:r>
        <w:rPr>
          <w:vertAlign w:val="subscript"/>
        </w:rPr>
        <w:t>[52, 53, 54]</w:t>
      </w:r>
      <w:r>
        <w:t>. The problem is new, because the revised guidelines give the site a larger share of the responsibility for quality without a structure to carry it. Four of the five gaps are answered in this way. The framework takes a principle that the texts state for the sponsor, such as a risk management cycle or continuous improvement, and builds the site-level instrument that the texts leave out. Each of these four answers creates a duty that a regulator could derive from duties the site already holds, so the framework supplies organization where the obligation already exists.</w:t>
      </w:r>
    </w:p>
    <w:p>
      <w:pPr>
        <w:ind w:firstLine="720"/>
        <w:jc w:val="both"/>
      </w:pPr>
      <w:r>
        <w:t>The third gap does not follow this pattern. ISO 14155:2026 lets the sponsor justify a roll-in phase in the CIP, and the surgical trials literature controls the operator at entry. None of the texts we compared gives the site a role in observing a surgeon's proficiency once the investigation has started. The SLCT, the surgeon procedural consistency indicator, and the link from both to the credentialing decision answer that gap. In the same classification this part is an improvement, a new solution to a problem the field already knows. It is also the component with the weakest derivation, since no clause asks for it. Its justification is that the CtQ logic the texts do require, applied to an intervention delivered by a person whose execution changes over time, makes operator learning a threat to data validity. A qualification at entry measures a state at one moment, and the threat is a trajectory.</w:t>
      </w:r>
    </w:p>
    <w:p>
      <w:pPr>
        <w:ind w:firstLine="720"/>
        <w:jc w:val="both"/>
      </w:pPr>
      <w:r>
        <w:t>One result was not among the objectives. Our search found no published comparison of ICH E6(R3) with ISO 14155, so a site that works under both reconciles them on its own. The cost of that informal reconciliation is clearest in safety reporting. ISO 14155:2026 leaves to the CIP the interval within which the investigator reports a serious event to the sponsor, while the intervals in the MDR bind the sponsor's reports to the authorities. The device categories of adverse device effect and device deficiency have no counterpart in the vocabulary that most research staff learn in medicinal product trials. An interval that no text states tends to be filled with the one that staff remember from other trials, so a site can train its team to an obligation it does not have. The framework anchors each instrument to the text that is the primary authority for the obligation, and the safety reporting indicator takes its interval from the CIP for this reason.</w:t>
      </w:r>
    </w:p>
    <w:p>
      <w:pPr>
        <w:pStyle w:val="Heading2"/>
      </w:pPr>
      <w:r>
        <w:t>5.2 Position in the literature</w:t>
      </w:r>
    </w:p>
    <w:p>
      <w:pPr>
        <w:ind w:firstLine="720"/>
        <w:jc w:val="both"/>
      </w:pPr>
      <w:r>
        <w:t>Four bodies of work deal with quality in clinical investigations. The first is the quality infrastructure built for sponsors, and the second is the quality assurance of surgical interventions together with the evaluation of surgical innovation. The third measures the capacity and performance of sites, and the fourth describes how sites manage quality in practice. Table 5.1 lists the works we reviewed in each group.</w:t>
      </w:r>
    </w:p>
    <w:p>
      <w:pPr>
        <w:spacing w:before="120" w:after="80"/>
      </w:pPr>
      <w:r>
        <w:rPr>
          <w:i/>
          <w:sz w:val="20"/>
        </w:rPr>
        <w:t>Table 5.1. Works on quality in clinical investigations grouped by body of work, with what each provides, who holds it and when it acts, and how it relates to the framework of this thesis.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D9D9"/>
          </w:tcPr>
          <w:p>
            <w:r/>
            <w:r>
              <w:rPr>
                <w:b/>
                <w:sz w:val="18"/>
              </w:rPr>
              <w:t>Body of work</w:t>
            </w:r>
          </w:p>
        </w:tc>
        <w:tc>
          <w:tcPr>
            <w:tcW w:type="dxa" w:w="1728"/>
            <w:shd w:val="clear" w:color="auto" w:fill="D9D9D9"/>
          </w:tcPr>
          <w:p>
            <w:r/>
            <w:r>
              <w:rPr>
                <w:b/>
                <w:sz w:val="18"/>
              </w:rPr>
              <w:t>Work</w:t>
            </w:r>
          </w:p>
        </w:tc>
        <w:tc>
          <w:tcPr>
            <w:tcW w:type="dxa" w:w="1728"/>
            <w:shd w:val="clear" w:color="auto" w:fill="D9D9D9"/>
          </w:tcPr>
          <w:p>
            <w:r/>
            <w:r>
              <w:rPr>
                <w:b/>
                <w:sz w:val="18"/>
              </w:rPr>
              <w:t>What it provides</w:t>
            </w:r>
          </w:p>
        </w:tc>
        <w:tc>
          <w:tcPr>
            <w:tcW w:type="dxa" w:w="1728"/>
            <w:shd w:val="clear" w:color="auto" w:fill="D9D9D9"/>
          </w:tcPr>
          <w:p>
            <w:r/>
            <w:r>
              <w:rPr>
                <w:b/>
                <w:sz w:val="18"/>
              </w:rPr>
              <w:t>Holder and moment of use</w:t>
            </w:r>
          </w:p>
        </w:tc>
        <w:tc>
          <w:tcPr>
            <w:tcW w:type="dxa" w:w="1728"/>
            <w:shd w:val="clear" w:color="auto" w:fill="D9D9D9"/>
          </w:tcPr>
          <w:p>
            <w:r/>
            <w:r>
              <w:rPr>
                <w:b/>
                <w:sz w:val="18"/>
              </w:rPr>
              <w:t>Relation to this framework</w:t>
            </w:r>
          </w:p>
        </w:tc>
      </w:tr>
      <w:tr>
        <w:tc>
          <w:tcPr>
            <w:tcW w:type="dxa" w:w="1728"/>
            <w:vMerge w:val="restart"/>
            <w:shd w:val="clear" w:color="auto" w:fill="F2F2F2"/>
          </w:tcPr>
          <w:p>
            <w:pPr>
              <w:spacing w:line="240" w:lineRule="auto"/>
            </w:pPr>
            <w:r>
              <w:rPr>
                <w:b/>
                <w:sz w:val="18"/>
              </w:rPr>
              <w:t>Sponsor-level quality infrastructure</w:t>
            </w:r>
          </w:p>
        </w:tc>
        <w:tc>
          <w:tcPr>
            <w:tcW w:type="dxa" w:w="1728"/>
          </w:tcPr>
          <w:p>
            <w:pPr>
              <w:spacing w:line="240" w:lineRule="auto"/>
            </w:pPr>
            <w:r>
              <w:rPr>
                <w:sz w:val="18"/>
              </w:rPr>
              <w:t xml:space="preserve">EMA reflection paper on risk-based quality management </w:t>
            </w:r>
            <w:r>
              <w:rPr>
                <w:sz w:val="18"/>
                <w:vertAlign w:val="subscript"/>
              </w:rPr>
              <w:t>[1]</w:t>
            </w:r>
          </w:p>
        </w:tc>
        <w:tc>
          <w:tcPr>
            <w:tcW w:type="dxa" w:w="1728"/>
          </w:tcPr>
          <w:p>
            <w:pPr>
              <w:spacing w:line="240" w:lineRule="auto"/>
            </w:pPr>
            <w:r>
              <w:rPr>
                <w:sz w:val="18"/>
              </w:rPr>
              <w:t>The cycle of risk identification, evaluation, control, communication, and review for a trial</w:t>
            </w:r>
          </w:p>
        </w:tc>
        <w:tc>
          <w:tcPr>
            <w:tcW w:type="dxa" w:w="1728"/>
          </w:tcPr>
          <w:p>
            <w:pPr>
              <w:spacing w:line="240" w:lineRule="auto"/>
            </w:pPr>
            <w:r>
              <w:rPr>
                <w:sz w:val="18"/>
              </w:rPr>
              <w:t>Sponsor, from design to close-out</w:t>
            </w:r>
          </w:p>
        </w:tc>
        <w:tc>
          <w:tcPr>
            <w:tcW w:type="dxa" w:w="1728"/>
          </w:tcPr>
          <w:p>
            <w:pPr>
              <w:spacing w:line="240" w:lineRule="auto"/>
            </w:pPr>
            <w:r>
              <w:rPr>
                <w:sz w:val="18"/>
              </w:rPr>
              <w:t>The SRR applies the same cycle to the risks of the site's own execution</w:t>
            </w:r>
          </w:p>
        </w:tc>
      </w:tr>
      <w:tr>
        <w:tc>
          <w:tcPr>
            <w:tcW w:type="dxa" w:w="1728"/>
            <w:vMerge/>
          </w:tcPr>
          <w:p>
            <w:pPr>
              <w:spacing w:line="240" w:lineRule="auto"/>
            </w:pPr>
          </w:p>
        </w:tc>
        <w:tc>
          <w:tcPr>
            <w:tcW w:type="dxa" w:w="1728"/>
          </w:tcPr>
          <w:p>
            <w:pPr>
              <w:spacing w:line="240" w:lineRule="auto"/>
            </w:pPr>
            <w:r>
              <w:rPr>
                <w:sz w:val="18"/>
              </w:rPr>
              <w:t xml:space="preserve">TransCelerate clinical quality management system </w:t>
            </w:r>
            <w:r>
              <w:rPr>
                <w:sz w:val="18"/>
                <w:vertAlign w:val="subscript"/>
              </w:rPr>
              <w:t>[32]</w:t>
            </w:r>
          </w:p>
        </w:tc>
        <w:tc>
          <w:tcPr>
            <w:tcW w:type="dxa" w:w="1728"/>
          </w:tcPr>
          <w:p>
            <w:pPr>
              <w:spacing w:line="240" w:lineRule="auto"/>
            </w:pPr>
            <w:r>
              <w:rPr>
                <w:sz w:val="18"/>
              </w:rPr>
              <w:t>A conceptual framework for a clinical quality management system, discussed with regulators</w:t>
            </w:r>
          </w:p>
        </w:tc>
        <w:tc>
          <w:tcPr>
            <w:tcW w:type="dxa" w:w="1728"/>
          </w:tcPr>
          <w:p>
            <w:pPr>
              <w:spacing w:line="240" w:lineRule="auto"/>
            </w:pPr>
            <w:r>
              <w:rPr>
                <w:sz w:val="18"/>
              </w:rPr>
              <w:t>Sponsor organizations</w:t>
            </w:r>
          </w:p>
        </w:tc>
        <w:tc>
          <w:tcPr>
            <w:tcW w:type="dxa" w:w="1728"/>
          </w:tcPr>
          <w:p>
            <w:pPr>
              <w:spacing w:line="240" w:lineRule="auto"/>
            </w:pPr>
            <w:r>
              <w:rPr>
                <w:sz w:val="18"/>
              </w:rPr>
              <w:t>Same functions at the level of the organization that runs trials; the site is a party the sponsor oversees</w:t>
            </w:r>
          </w:p>
        </w:tc>
      </w:tr>
      <w:tr>
        <w:tc>
          <w:tcPr>
            <w:tcW w:type="dxa" w:w="1728"/>
            <w:vMerge/>
          </w:tcPr>
          <w:p>
            <w:pPr>
              <w:spacing w:line="240" w:lineRule="auto"/>
            </w:pPr>
          </w:p>
        </w:tc>
        <w:tc>
          <w:tcPr>
            <w:tcW w:type="dxa" w:w="1728"/>
          </w:tcPr>
          <w:p>
            <w:pPr>
              <w:spacing w:line="240" w:lineRule="auto"/>
            </w:pPr>
            <w:r>
              <w:rPr>
                <w:sz w:val="18"/>
              </w:rPr>
              <w:t xml:space="preserve">CTTI quality by design project and CtQ principles </w:t>
            </w:r>
            <w:r>
              <w:rPr>
                <w:sz w:val="18"/>
                <w:vertAlign w:val="subscript"/>
              </w:rPr>
              <w:t>[33, 55]</w:t>
            </w:r>
          </w:p>
        </w:tc>
        <w:tc>
          <w:tcPr>
            <w:tcW w:type="dxa" w:w="1728"/>
          </w:tcPr>
          <w:p>
            <w:pPr>
              <w:spacing w:line="240" w:lineRule="auto"/>
            </w:pPr>
            <w:r>
              <w:rPr>
                <w:sz w:val="18"/>
              </w:rPr>
              <w:t>A method to identify CtQ factors and build quality into trial design</w:t>
            </w:r>
          </w:p>
        </w:tc>
        <w:tc>
          <w:tcPr>
            <w:tcW w:type="dxa" w:w="1728"/>
          </w:tcPr>
          <w:p>
            <w:pPr>
              <w:spacing w:line="240" w:lineRule="auto"/>
            </w:pPr>
            <w:r>
              <w:rPr>
                <w:sz w:val="18"/>
              </w:rPr>
              <w:t>Sponsor and protocol team, at design</w:t>
            </w:r>
          </w:p>
        </w:tc>
        <w:tc>
          <w:tcPr>
            <w:tcW w:type="dxa" w:w="1728"/>
          </w:tcPr>
          <w:p>
            <w:pPr>
              <w:spacing w:line="240" w:lineRule="auto"/>
            </w:pPr>
            <w:r>
              <w:rPr>
                <w:sz w:val="18"/>
              </w:rPr>
              <w:t>Source of the CtQ logic that Chapter 3 carried to site-level domains</w:t>
            </w:r>
          </w:p>
        </w:tc>
      </w:tr>
      <w:tr>
        <w:tc>
          <w:tcPr>
            <w:tcW w:type="dxa" w:w="1728"/>
            <w:vMerge/>
          </w:tcPr>
          <w:p>
            <w:pPr>
              <w:spacing w:line="240" w:lineRule="auto"/>
            </w:pPr>
          </w:p>
        </w:tc>
        <w:tc>
          <w:tcPr>
            <w:tcW w:type="dxa" w:w="1728"/>
          </w:tcPr>
          <w:p>
            <w:pPr>
              <w:spacing w:line="240" w:lineRule="auto"/>
            </w:pPr>
            <w:r>
              <w:rPr>
                <w:sz w:val="18"/>
              </w:rPr>
              <w:t xml:space="preserve">MDIC medical device supplement </w:t>
            </w:r>
            <w:r>
              <w:rPr>
                <w:sz w:val="18"/>
                <w:vertAlign w:val="subscript"/>
              </w:rPr>
              <w:t>[34]</w:t>
            </w:r>
          </w:p>
        </w:tc>
        <w:tc>
          <w:tcPr>
            <w:tcW w:type="dxa" w:w="1728"/>
          </w:tcPr>
          <w:p>
            <w:pPr>
              <w:spacing w:line="240" w:lineRule="auto"/>
            </w:pPr>
            <w:r>
              <w:rPr>
                <w:sz w:val="18"/>
              </w:rPr>
              <w:t>CtQ considerations specific to devices, including learning curves in device use and factors that depend on the site</w:t>
            </w:r>
          </w:p>
        </w:tc>
        <w:tc>
          <w:tcPr>
            <w:tcW w:type="dxa" w:w="1728"/>
          </w:tcPr>
          <w:p>
            <w:pPr>
              <w:spacing w:line="240" w:lineRule="auto"/>
            </w:pPr>
            <w:r>
              <w:rPr>
                <w:sz w:val="18"/>
              </w:rPr>
              <w:t>Sponsor, at design</w:t>
            </w:r>
          </w:p>
        </w:tc>
        <w:tc>
          <w:tcPr>
            <w:tcW w:type="dxa" w:w="1728"/>
          </w:tcPr>
          <w:p>
            <w:pPr>
              <w:spacing w:line="240" w:lineRule="auto"/>
            </w:pPr>
            <w:r>
              <w:rPr>
                <w:sz w:val="18"/>
              </w:rPr>
              <w:t>Recognizes operator learning and leaves its control to the design of the trial</w:t>
            </w:r>
          </w:p>
        </w:tc>
      </w:tr>
      <w:tr>
        <w:tc>
          <w:tcPr>
            <w:tcW w:type="dxa" w:w="1728"/>
            <w:vMerge/>
          </w:tcPr>
          <w:p>
            <w:pPr>
              <w:spacing w:line="240" w:lineRule="auto"/>
            </w:pPr>
          </w:p>
        </w:tc>
        <w:tc>
          <w:tcPr>
            <w:tcW w:type="dxa" w:w="1728"/>
          </w:tcPr>
          <w:p>
            <w:pPr>
              <w:spacing w:line="240" w:lineRule="auto"/>
            </w:pPr>
            <w:r>
              <w:rPr>
                <w:sz w:val="18"/>
              </w:rPr>
              <w:t xml:space="preserve">FDA guidance on risk-based monitoring </w:t>
            </w:r>
            <w:r>
              <w:rPr>
                <w:sz w:val="18"/>
                <w:vertAlign w:val="subscript"/>
              </w:rPr>
              <w:t>[79]</w:t>
            </w:r>
            <w:r>
              <w:rPr>
                <w:sz w:val="18"/>
              </w:rPr>
              <w:t xml:space="preserve">; risk-based monitoring update </w:t>
            </w:r>
            <w:r>
              <w:rPr>
                <w:sz w:val="18"/>
                <w:vertAlign w:val="subscript"/>
              </w:rPr>
              <w:t>[91]</w:t>
            </w:r>
          </w:p>
        </w:tc>
        <w:tc>
          <w:tcPr>
            <w:tcW w:type="dxa" w:w="1728"/>
          </w:tcPr>
          <w:p>
            <w:pPr>
              <w:spacing w:line="240" w:lineRule="auto"/>
            </w:pPr>
            <w:r>
              <w:rPr>
                <w:sz w:val="18"/>
              </w:rPr>
              <w:t>Risk-based monitoring practice and its adoption across the industry</w:t>
            </w:r>
          </w:p>
        </w:tc>
        <w:tc>
          <w:tcPr>
            <w:tcW w:type="dxa" w:w="1728"/>
          </w:tcPr>
          <w:p>
            <w:pPr>
              <w:spacing w:line="240" w:lineRule="auto"/>
            </w:pPr>
            <w:r>
              <w:rPr>
                <w:sz w:val="18"/>
              </w:rPr>
              <w:t>Sponsor and CRO, during conduct</w:t>
            </w:r>
          </w:p>
        </w:tc>
        <w:tc>
          <w:tcPr>
            <w:tcW w:type="dxa" w:w="1728"/>
          </w:tcPr>
          <w:p>
            <w:pPr>
              <w:spacing w:line="240" w:lineRule="auto"/>
            </w:pPr>
            <w:r>
              <w:rPr>
                <w:sz w:val="18"/>
              </w:rPr>
              <w:t>Reaches the site from outside, on a schedule the site does not set</w:t>
            </w:r>
          </w:p>
        </w:tc>
      </w:tr>
      <w:tr>
        <w:tc>
          <w:tcPr>
            <w:tcW w:type="dxa" w:w="1728"/>
            <w:vMerge/>
          </w:tcPr>
          <w:p>
            <w:pPr>
              <w:spacing w:line="240" w:lineRule="auto"/>
            </w:pPr>
          </w:p>
        </w:tc>
        <w:tc>
          <w:tcPr>
            <w:tcW w:type="dxa" w:w="1728"/>
          </w:tcPr>
          <w:p>
            <w:pPr>
              <w:spacing w:line="240" w:lineRule="auto"/>
            </w:pPr>
            <w:r>
              <w:rPr>
                <w:sz w:val="18"/>
              </w:rPr>
              <w:t xml:space="preserve">RBQM adoption maturity survey </w:t>
            </w:r>
            <w:r>
              <w:rPr>
                <w:sz w:val="18"/>
                <w:vertAlign w:val="subscript"/>
              </w:rPr>
              <w:t>[13]</w:t>
            </w:r>
          </w:p>
        </w:tc>
        <w:tc>
          <w:tcPr>
            <w:tcW w:type="dxa" w:w="1728"/>
          </w:tcPr>
          <w:p>
            <w:pPr>
              <w:spacing w:line="240" w:lineRule="auto"/>
            </w:pPr>
            <w:r>
              <w:rPr>
                <w:sz w:val="18"/>
              </w:rPr>
              <w:t>Use of 32 RBQM practices in 119 companies; identification of CtQ factors among the least used</w:t>
            </w:r>
          </w:p>
        </w:tc>
        <w:tc>
          <w:tcPr>
            <w:tcW w:type="dxa" w:w="1728"/>
          </w:tcPr>
          <w:p>
            <w:pPr>
              <w:spacing w:line="240" w:lineRule="auto"/>
            </w:pPr>
            <w:r>
              <w:rPr>
                <w:sz w:val="18"/>
              </w:rPr>
              <w:t>Sponsor</w:t>
            </w:r>
          </w:p>
        </w:tc>
        <w:tc>
          <w:tcPr>
            <w:tcW w:type="dxa" w:w="1728"/>
          </w:tcPr>
          <w:p>
            <w:pPr>
              <w:spacing w:line="240" w:lineRule="auto"/>
            </w:pPr>
            <w:r>
              <w:rPr>
                <w:sz w:val="18"/>
              </w:rPr>
              <w:t>The sponsor input that the SRR starts from is often missing</w:t>
            </w:r>
          </w:p>
        </w:tc>
      </w:tr>
      <w:tr>
        <w:tc>
          <w:tcPr>
            <w:tcW w:type="dxa" w:w="1728"/>
            <w:vMerge/>
          </w:tcPr>
          <w:p>
            <w:pPr>
              <w:spacing w:line="240" w:lineRule="auto"/>
            </w:pPr>
          </w:p>
        </w:tc>
        <w:tc>
          <w:tcPr>
            <w:tcW w:type="dxa" w:w="1728"/>
          </w:tcPr>
          <w:p>
            <w:pPr>
              <w:spacing w:line="240" w:lineRule="auto"/>
            </w:pPr>
            <w:r>
              <w:rPr>
                <w:sz w:val="18"/>
              </w:rPr>
              <w:t xml:space="preserve">Central monitoring studies </w:t>
            </w:r>
            <w:r>
              <w:rPr>
                <w:sz w:val="18"/>
                <w:vertAlign w:val="subscript"/>
              </w:rPr>
              <w:t>[28, 44]</w:t>
            </w:r>
          </w:p>
        </w:tc>
        <w:tc>
          <w:tcPr>
            <w:tcW w:type="dxa" w:w="1728"/>
          </w:tcPr>
          <w:p>
            <w:pPr>
              <w:spacing w:line="240" w:lineRule="auto"/>
            </w:pPr>
            <w:r>
              <w:rPr>
                <w:sz w:val="18"/>
              </w:rPr>
              <w:t>Part of on-site findings detectable centrally; improvement at 83% of sites flagged by statistical monitoring</w:t>
            </w:r>
          </w:p>
        </w:tc>
        <w:tc>
          <w:tcPr>
            <w:tcW w:type="dxa" w:w="1728"/>
          </w:tcPr>
          <w:p>
            <w:pPr>
              <w:spacing w:line="240" w:lineRule="auto"/>
            </w:pPr>
            <w:r>
              <w:rPr>
                <w:sz w:val="18"/>
              </w:rPr>
              <w:t>Sponsor or vendor, during conduct</w:t>
            </w:r>
          </w:p>
        </w:tc>
        <w:tc>
          <w:tcPr>
            <w:tcW w:type="dxa" w:w="1728"/>
          </w:tcPr>
          <w:p>
            <w:pPr>
              <w:spacing w:line="240" w:lineRule="auto"/>
            </w:pPr>
            <w:r>
              <w:rPr>
                <w:sz w:val="18"/>
              </w:rPr>
              <w:t>A signal returned to the site was followed by improvement; the framework produces the signal inside the site</w:t>
            </w:r>
          </w:p>
        </w:tc>
      </w:tr>
      <w:tr>
        <w:tc>
          <w:tcPr>
            <w:tcW w:type="dxa" w:w="1728"/>
            <w:vMerge w:val="restart"/>
            <w:shd w:val="clear" w:color="auto" w:fill="F2F2F2"/>
          </w:tcPr>
          <w:p>
            <w:pPr>
              <w:spacing w:line="240" w:lineRule="auto"/>
            </w:pPr>
            <w:r>
              <w:rPr>
                <w:b/>
                <w:sz w:val="18"/>
              </w:rPr>
              <w:t>Surgical quality assurance and surgical innovation</w:t>
            </w:r>
          </w:p>
        </w:tc>
        <w:tc>
          <w:tcPr>
            <w:tcW w:type="dxa" w:w="1728"/>
          </w:tcPr>
          <w:p>
            <w:pPr>
              <w:spacing w:line="240" w:lineRule="auto"/>
            </w:pPr>
            <w:r>
              <w:rPr>
                <w:sz w:val="18"/>
              </w:rPr>
              <w:t xml:space="preserve">IDEAL recommendations </w:t>
            </w:r>
            <w:r>
              <w:rPr>
                <w:sz w:val="18"/>
                <w:vertAlign w:val="subscript"/>
              </w:rPr>
              <w:t>[18]</w:t>
            </w:r>
          </w:p>
        </w:tc>
        <w:tc>
          <w:tcPr>
            <w:tcW w:type="dxa" w:w="1728"/>
          </w:tcPr>
          <w:p>
            <w:pPr>
              <w:spacing w:line="240" w:lineRule="auto"/>
            </w:pPr>
            <w:r>
              <w:rPr>
                <w:sz w:val="18"/>
              </w:rPr>
              <w:t>Staged evaluation of surgical innovation, attention to learning curves, use of statistical process control</w:t>
            </w:r>
          </w:p>
        </w:tc>
        <w:tc>
          <w:tcPr>
            <w:tcW w:type="dxa" w:w="1728"/>
          </w:tcPr>
          <w:p>
            <w:pPr>
              <w:spacing w:line="240" w:lineRule="auto"/>
            </w:pPr>
            <w:r>
              <w:rPr>
                <w:sz w:val="18"/>
              </w:rPr>
              <w:t>Researchers designing evaluations</w:t>
            </w:r>
          </w:p>
        </w:tc>
        <w:tc>
          <w:tcPr>
            <w:tcW w:type="dxa" w:w="1728"/>
          </w:tcPr>
          <w:p>
            <w:pPr>
              <w:spacing w:line="240" w:lineRule="auto"/>
            </w:pPr>
            <w:r>
              <w:rPr>
                <w:sz w:val="18"/>
              </w:rPr>
              <w:t>Names the problem the SLCT addresses, at the level of study design</w:t>
            </w:r>
          </w:p>
        </w:tc>
      </w:tr>
      <w:tr>
        <w:tc>
          <w:tcPr>
            <w:tcW w:type="dxa" w:w="1728"/>
            <w:vMerge/>
          </w:tcPr>
          <w:p>
            <w:pPr>
              <w:spacing w:line="240" w:lineRule="auto"/>
            </w:pPr>
          </w:p>
        </w:tc>
        <w:tc>
          <w:tcPr>
            <w:tcW w:type="dxa" w:w="1728"/>
          </w:tcPr>
          <w:p>
            <w:pPr>
              <w:spacing w:line="240" w:lineRule="auto"/>
            </w:pPr>
            <w:r>
              <w:rPr>
                <w:sz w:val="18"/>
              </w:rPr>
              <w:t xml:space="preserve">Implantable device evidence framework </w:t>
            </w:r>
            <w:r>
              <w:rPr>
                <w:sz w:val="18"/>
                <w:vertAlign w:val="subscript"/>
              </w:rPr>
              <w:t>[19]</w:t>
            </w:r>
            <w:r>
              <w:rPr>
                <w:sz w:val="18"/>
              </w:rPr>
              <w:t xml:space="preserve">; CORE-MD recommendations </w:t>
            </w:r>
            <w:r>
              <w:rPr>
                <w:sz w:val="18"/>
                <w:vertAlign w:val="subscript"/>
              </w:rPr>
              <w:t>[17]</w:t>
            </w:r>
          </w:p>
        </w:tc>
        <w:tc>
          <w:tcPr>
            <w:tcW w:type="dxa" w:w="1728"/>
          </w:tcPr>
          <w:p>
            <w:pPr>
              <w:spacing w:line="240" w:lineRule="auto"/>
            </w:pPr>
            <w:r>
              <w:rPr>
                <w:sz w:val="18"/>
              </w:rPr>
              <w:t>Methodological issues of device studies, including learning curves and operator, hospital, and patient interactions</w:t>
            </w:r>
          </w:p>
        </w:tc>
        <w:tc>
          <w:tcPr>
            <w:tcW w:type="dxa" w:w="1728"/>
          </w:tcPr>
          <w:p>
            <w:pPr>
              <w:spacing w:line="240" w:lineRule="auto"/>
            </w:pPr>
            <w:r>
              <w:rPr>
                <w:sz w:val="18"/>
              </w:rPr>
              <w:t>Investigators and regulators, at design</w:t>
            </w:r>
          </w:p>
        </w:tc>
        <w:tc>
          <w:tcPr>
            <w:tcW w:type="dxa" w:w="1728"/>
          </w:tcPr>
          <w:p>
            <w:pPr>
              <w:spacing w:line="240" w:lineRule="auto"/>
            </w:pPr>
            <w:r>
              <w:rPr>
                <w:sz w:val="18"/>
              </w:rPr>
              <w:t>Same sources of variance, with no instrument for the site</w:t>
            </w:r>
          </w:p>
        </w:tc>
      </w:tr>
      <w:tr>
        <w:tc>
          <w:tcPr>
            <w:tcW w:type="dxa" w:w="1728"/>
            <w:vMerge/>
          </w:tcPr>
          <w:p>
            <w:pPr>
              <w:spacing w:line="240" w:lineRule="auto"/>
            </w:pPr>
          </w:p>
        </w:tc>
        <w:tc>
          <w:tcPr>
            <w:tcW w:type="dxa" w:w="1728"/>
          </w:tcPr>
          <w:p>
            <w:pPr>
              <w:spacing w:line="240" w:lineRule="auto"/>
            </w:pPr>
            <w:r>
              <w:rPr>
                <w:sz w:val="18"/>
              </w:rPr>
              <w:t xml:space="preserve">Review of challenges to surgical quality assurance </w:t>
            </w:r>
            <w:r>
              <w:rPr>
                <w:sz w:val="18"/>
                <w:vertAlign w:val="subscript"/>
              </w:rPr>
              <w:t>[35]</w:t>
            </w:r>
          </w:p>
        </w:tc>
        <w:tc>
          <w:tcPr>
            <w:tcW w:type="dxa" w:w="1728"/>
          </w:tcPr>
          <w:p>
            <w:pPr>
              <w:spacing w:line="240" w:lineRule="auto"/>
            </w:pPr>
            <w:r>
              <w:rPr>
                <w:sz w:val="18"/>
              </w:rPr>
              <w:t>Challenges grouped as credentialing, standardization, and monitoring</w:t>
            </w:r>
          </w:p>
        </w:tc>
        <w:tc>
          <w:tcPr>
            <w:tcW w:type="dxa" w:w="1728"/>
          </w:tcPr>
          <w:p>
            <w:pPr>
              <w:spacing w:line="240" w:lineRule="auto"/>
            </w:pPr>
            <w:r>
              <w:rPr>
                <w:sz w:val="18"/>
              </w:rPr>
              <w:t>Trial teams</w:t>
            </w:r>
          </w:p>
        </w:tc>
        <w:tc>
          <w:tcPr>
            <w:tcW w:type="dxa" w:w="1728"/>
          </w:tcPr>
          <w:p>
            <w:pPr>
              <w:spacing w:line="240" w:lineRule="auto"/>
            </w:pPr>
            <w:r>
              <w:rPr>
                <w:sz w:val="18"/>
              </w:rPr>
              <w:t>Monitoring is named as a domain and rarely put in place</w:t>
            </w:r>
          </w:p>
        </w:tc>
      </w:tr>
      <w:tr>
        <w:tc>
          <w:tcPr>
            <w:tcW w:type="dxa" w:w="1728"/>
            <w:vMerge/>
          </w:tcPr>
          <w:p>
            <w:pPr>
              <w:spacing w:line="240" w:lineRule="auto"/>
            </w:pPr>
          </w:p>
        </w:tc>
        <w:tc>
          <w:tcPr>
            <w:tcW w:type="dxa" w:w="1728"/>
          </w:tcPr>
          <w:p>
            <w:pPr>
              <w:spacing w:line="240" w:lineRule="auto"/>
            </w:pPr>
            <w:r>
              <w:rPr>
                <w:sz w:val="18"/>
              </w:rPr>
              <w:t xml:space="preserve">ROMIO protocol </w:t>
            </w:r>
            <w:r>
              <w:rPr>
                <w:sz w:val="18"/>
                <w:vertAlign w:val="subscript"/>
              </w:rPr>
              <w:t>[36]</w:t>
            </w:r>
            <w:r>
              <w:rPr>
                <w:sz w:val="18"/>
              </w:rPr>
              <w:t xml:space="preserve">; standardizing and monitoring surgical delivery </w:t>
            </w:r>
            <w:r>
              <w:rPr>
                <w:sz w:val="18"/>
                <w:vertAlign w:val="subscript"/>
              </w:rPr>
              <w:t>[59]</w:t>
            </w:r>
          </w:p>
        </w:tc>
        <w:tc>
          <w:tcPr>
            <w:tcW w:type="dxa" w:w="1728"/>
          </w:tcPr>
          <w:p>
            <w:pPr>
              <w:spacing w:line="240" w:lineRule="auto"/>
            </w:pPr>
            <w:r>
              <w:rPr>
                <w:sz w:val="18"/>
              </w:rPr>
              <w:t>Methods to define, standardize, and monitor the surgical intervention, including assessment of operative video</w:t>
            </w:r>
          </w:p>
        </w:tc>
        <w:tc>
          <w:tcPr>
            <w:tcW w:type="dxa" w:w="1728"/>
          </w:tcPr>
          <w:p>
            <w:pPr>
              <w:spacing w:line="240" w:lineRule="auto"/>
            </w:pPr>
            <w:r>
              <w:rPr>
                <w:sz w:val="18"/>
              </w:rPr>
              <w:t>Trial team, mostly before and at entry</w:t>
            </w:r>
          </w:p>
        </w:tc>
        <w:tc>
          <w:tcPr>
            <w:tcW w:type="dxa" w:w="1728"/>
          </w:tcPr>
          <w:p>
            <w:pPr>
              <w:spacing w:line="240" w:lineRule="auto"/>
            </w:pPr>
            <w:r>
              <w:rPr>
                <w:sz w:val="18"/>
              </w:rPr>
              <w:t>The intervention is standardized for the site, which delivers it</w:t>
            </w:r>
          </w:p>
        </w:tc>
      </w:tr>
      <w:tr>
        <w:tc>
          <w:tcPr>
            <w:tcW w:type="dxa" w:w="1728"/>
            <w:vMerge/>
          </w:tcPr>
          <w:p>
            <w:pPr>
              <w:spacing w:line="240" w:lineRule="auto"/>
            </w:pPr>
          </w:p>
        </w:tc>
        <w:tc>
          <w:tcPr>
            <w:tcW w:type="dxa" w:w="1728"/>
          </w:tcPr>
          <w:p>
            <w:pPr>
              <w:spacing w:line="240" w:lineRule="auto"/>
            </w:pPr>
            <w:r>
              <w:rPr>
                <w:sz w:val="18"/>
              </w:rPr>
              <w:t xml:space="preserve">SQA-Onc. Delphi </w:t>
            </w:r>
            <w:r>
              <w:rPr>
                <w:sz w:val="18"/>
                <w:vertAlign w:val="subscript"/>
              </w:rPr>
              <w:t>[37]</w:t>
            </w:r>
          </w:p>
        </w:tc>
        <w:tc>
          <w:tcPr>
            <w:tcW w:type="dxa" w:w="1728"/>
          </w:tcPr>
          <w:p>
            <w:pPr>
              <w:spacing w:line="240" w:lineRule="auto"/>
            </w:pPr>
            <w:r>
              <w:rPr>
                <w:sz w:val="18"/>
              </w:rPr>
              <w:t>59 consensus strategies, 14 accepted within an active trial, with operative monitoring by photograph or video</w:t>
            </w:r>
          </w:p>
        </w:tc>
        <w:tc>
          <w:tcPr>
            <w:tcW w:type="dxa" w:w="1728"/>
          </w:tcPr>
          <w:p>
            <w:pPr>
              <w:spacing w:line="240" w:lineRule="auto"/>
            </w:pPr>
            <w:r>
              <w:rPr>
                <w:sz w:val="18"/>
              </w:rPr>
              <w:t>Trial team and external assessors</w:t>
            </w:r>
          </w:p>
        </w:tc>
        <w:tc>
          <w:tcPr>
            <w:tcW w:type="dxa" w:w="1728"/>
          </w:tcPr>
          <w:p>
            <w:pPr>
              <w:spacing w:line="240" w:lineRule="auto"/>
            </w:pPr>
            <w:r>
              <w:rPr>
                <w:sz w:val="18"/>
              </w:rPr>
              <w:t>Monitoring by review of operative material outside the site</w:t>
            </w:r>
          </w:p>
        </w:tc>
      </w:tr>
      <w:tr>
        <w:tc>
          <w:tcPr>
            <w:tcW w:type="dxa" w:w="1728"/>
            <w:vMerge/>
          </w:tcPr>
          <w:p>
            <w:pPr>
              <w:spacing w:line="240" w:lineRule="auto"/>
            </w:pPr>
          </w:p>
        </w:tc>
        <w:tc>
          <w:tcPr>
            <w:tcW w:type="dxa" w:w="1728"/>
          </w:tcPr>
          <w:p>
            <w:pPr>
              <w:spacing w:line="240" w:lineRule="auto"/>
            </w:pPr>
            <w:r>
              <w:rPr>
                <w:sz w:val="18"/>
              </w:rPr>
              <w:t xml:space="preserve">SQA checklist for gastrointestinal surgery </w:t>
            </w:r>
            <w:r>
              <w:rPr>
                <w:sz w:val="18"/>
                <w:vertAlign w:val="subscript"/>
              </w:rPr>
              <w:t>[38]</w:t>
            </w:r>
          </w:p>
        </w:tc>
        <w:tc>
          <w:tcPr>
            <w:tcW w:type="dxa" w:w="1728"/>
          </w:tcPr>
          <w:p>
            <w:pPr>
              <w:spacing w:line="240" w:lineRule="auto"/>
            </w:pPr>
            <w:r>
              <w:rPr>
                <w:sz w:val="18"/>
              </w:rPr>
              <w:t>A 13-item checklist for planning surgical quality assurance</w:t>
            </w:r>
          </w:p>
        </w:tc>
        <w:tc>
          <w:tcPr>
            <w:tcW w:type="dxa" w:w="1728"/>
          </w:tcPr>
          <w:p>
            <w:pPr>
              <w:spacing w:line="240" w:lineRule="auto"/>
            </w:pPr>
            <w:r>
              <w:rPr>
                <w:sz w:val="18"/>
              </w:rPr>
              <w:t>Trial designers</w:t>
            </w:r>
          </w:p>
        </w:tc>
        <w:tc>
          <w:tcPr>
            <w:tcW w:type="dxa" w:w="1728"/>
          </w:tcPr>
          <w:p>
            <w:pPr>
              <w:spacing w:line="240" w:lineRule="auto"/>
            </w:pPr>
            <w:r>
              <w:rPr>
                <w:sz w:val="18"/>
              </w:rPr>
              <w:t>A planning tool for the trial</w:t>
            </w:r>
          </w:p>
        </w:tc>
      </w:tr>
      <w:tr>
        <w:tc>
          <w:tcPr>
            <w:tcW w:type="dxa" w:w="1728"/>
            <w:vMerge/>
          </w:tcPr>
          <w:p>
            <w:pPr>
              <w:spacing w:line="240" w:lineRule="auto"/>
            </w:pPr>
          </w:p>
        </w:tc>
        <w:tc>
          <w:tcPr>
            <w:tcW w:type="dxa" w:w="1728"/>
          </w:tcPr>
          <w:p>
            <w:pPr>
              <w:spacing w:line="240" w:lineRule="auto"/>
            </w:pPr>
            <w:r>
              <w:rPr>
                <w:sz w:val="18"/>
              </w:rPr>
              <w:t xml:space="preserve">Arteriovenous graft review </w:t>
            </w:r>
            <w:r>
              <w:rPr>
                <w:sz w:val="18"/>
                <w:vertAlign w:val="subscript"/>
              </w:rPr>
              <w:t>[39]</w:t>
            </w:r>
          </w:p>
        </w:tc>
        <w:tc>
          <w:tcPr>
            <w:tcW w:type="dxa" w:w="1728"/>
          </w:tcPr>
          <w:p>
            <w:pPr>
              <w:spacing w:line="240" w:lineRule="auto"/>
            </w:pPr>
            <w:r>
              <w:rPr>
                <w:sz w:val="18"/>
              </w:rPr>
              <w:t>Quality assurance highly variable; no trial with a defined pre-trial monitoring program or an assessment of technical performance</w:t>
            </w:r>
          </w:p>
        </w:tc>
        <w:tc>
          <w:tcPr>
            <w:tcW w:type="dxa" w:w="1728"/>
          </w:tcPr>
          <w:p>
            <w:pPr>
              <w:spacing w:line="240" w:lineRule="auto"/>
            </w:pPr>
            <w:r>
              <w:rPr>
                <w:sz w:val="18"/>
              </w:rPr>
              <w:t>Descriptive review</w:t>
            </w:r>
          </w:p>
        </w:tc>
        <w:tc>
          <w:tcPr>
            <w:tcW w:type="dxa" w:w="1728"/>
          </w:tcPr>
          <w:p>
            <w:pPr>
              <w:spacing w:line="240" w:lineRule="auto"/>
            </w:pPr>
            <w:r>
              <w:rPr>
                <w:sz w:val="18"/>
              </w:rPr>
              <w:t>Evidence of the absence the SLCT answers, outside oncology</w:t>
            </w:r>
          </w:p>
        </w:tc>
      </w:tr>
      <w:tr>
        <w:tc>
          <w:tcPr>
            <w:tcW w:type="dxa" w:w="1728"/>
            <w:vMerge/>
          </w:tcPr>
          <w:p>
            <w:pPr>
              <w:spacing w:line="240" w:lineRule="auto"/>
            </w:pPr>
          </w:p>
        </w:tc>
        <w:tc>
          <w:tcPr>
            <w:tcW w:type="dxa" w:w="1728"/>
          </w:tcPr>
          <w:p>
            <w:pPr>
              <w:spacing w:line="240" w:lineRule="auto"/>
            </w:pPr>
            <w:r>
              <w:rPr>
                <w:sz w:val="18"/>
              </w:rPr>
              <w:t xml:space="preserve">Reviews and survey on learning and clustering </w:t>
            </w:r>
            <w:r>
              <w:rPr>
                <w:sz w:val="18"/>
                <w:vertAlign w:val="subscript"/>
              </w:rPr>
              <w:t>[70, 71, 72]</w:t>
            </w:r>
          </w:p>
        </w:tc>
        <w:tc>
          <w:tcPr>
            <w:tcW w:type="dxa" w:w="1728"/>
          </w:tcPr>
          <w:p>
            <w:pPr>
              <w:spacing w:line="240" w:lineRule="auto"/>
            </w:pPr>
            <w:r>
              <w:rPr>
                <w:sz w:val="18"/>
              </w:rPr>
              <w:t>Surgeon credentials predefined in 39% of 247 trials and learning analyzed in one; a minimum expertise level set by 89% of 44 trial units</w:t>
            </w:r>
          </w:p>
        </w:tc>
        <w:tc>
          <w:tcPr>
            <w:tcW w:type="dxa" w:w="1728"/>
          </w:tcPr>
          <w:p>
            <w:pPr>
              <w:spacing w:line="240" w:lineRule="auto"/>
            </w:pPr>
            <w:r>
              <w:rPr>
                <w:sz w:val="18"/>
              </w:rPr>
              <w:t>Trial statisticians and trial units</w:t>
            </w:r>
          </w:p>
        </w:tc>
        <w:tc>
          <w:tcPr>
            <w:tcW w:type="dxa" w:w="1728"/>
          </w:tcPr>
          <w:p>
            <w:pPr>
              <w:spacing w:line="240" w:lineRule="auto"/>
            </w:pPr>
            <w:r>
              <w:rPr>
                <w:sz w:val="18"/>
              </w:rPr>
              <w:t>Learning is handled at entry and at analysis; the framework observes it during conduct</w:t>
            </w:r>
          </w:p>
        </w:tc>
      </w:tr>
      <w:tr>
        <w:tc>
          <w:tcPr>
            <w:tcW w:type="dxa" w:w="1728"/>
            <w:vMerge/>
          </w:tcPr>
          <w:p>
            <w:pPr>
              <w:spacing w:line="240" w:lineRule="auto"/>
            </w:pPr>
          </w:p>
        </w:tc>
        <w:tc>
          <w:tcPr>
            <w:tcW w:type="dxa" w:w="1728"/>
          </w:tcPr>
          <w:p>
            <w:pPr>
              <w:spacing w:line="240" w:lineRule="auto"/>
            </w:pPr>
            <w:r>
              <w:rPr>
                <w:sz w:val="18"/>
              </w:rPr>
              <w:t xml:space="preserve">Quality improvement in surgical oncology </w:t>
            </w:r>
            <w:r>
              <w:rPr>
                <w:sz w:val="18"/>
                <w:vertAlign w:val="subscript"/>
              </w:rPr>
              <w:t>[40]</w:t>
            </w:r>
          </w:p>
        </w:tc>
        <w:tc>
          <w:tcPr>
            <w:tcW w:type="dxa" w:w="1728"/>
          </w:tcPr>
          <w:p>
            <w:pPr>
              <w:spacing w:line="240" w:lineRule="auto"/>
            </w:pPr>
            <w:r>
              <w:rPr>
                <w:sz w:val="18"/>
              </w:rPr>
              <w:t>109 studies; positive effects in 2 of 12 randomized trials and 86 of 97 non-randomized studies</w:t>
            </w:r>
          </w:p>
        </w:tc>
        <w:tc>
          <w:tcPr>
            <w:tcW w:type="dxa" w:w="1728"/>
          </w:tcPr>
          <w:p>
            <w:pPr>
              <w:spacing w:line="240" w:lineRule="auto"/>
            </w:pPr>
            <w:r>
              <w:rPr>
                <w:sz w:val="18"/>
              </w:rPr>
              <w:t>Hospitals and surgical teams</w:t>
            </w:r>
          </w:p>
        </w:tc>
        <w:tc>
          <w:tcPr>
            <w:tcW w:type="dxa" w:w="1728"/>
          </w:tcPr>
          <w:p>
            <w:pPr>
              <w:spacing w:line="240" w:lineRule="auto"/>
            </w:pPr>
            <w:r>
              <w:rPr>
                <w:sz w:val="18"/>
              </w:rPr>
              <w:t>A warning for how this framework should be evaluated</w:t>
            </w:r>
          </w:p>
        </w:tc>
      </w:tr>
      <w:tr>
        <w:tc>
          <w:tcPr>
            <w:tcW w:type="dxa" w:w="1728"/>
            <w:vMerge w:val="restart"/>
            <w:shd w:val="clear" w:color="auto" w:fill="F2F2F2"/>
          </w:tcPr>
          <w:p>
            <w:pPr>
              <w:spacing w:line="240" w:lineRule="auto"/>
            </w:pPr>
            <w:r>
              <w:rPr>
                <w:b/>
                <w:sz w:val="18"/>
              </w:rPr>
              <w:t>Site capacity, readiness, and performance</w:t>
            </w:r>
          </w:p>
        </w:tc>
        <w:tc>
          <w:tcPr>
            <w:tcW w:type="dxa" w:w="1728"/>
          </w:tcPr>
          <w:p>
            <w:pPr>
              <w:spacing w:line="240" w:lineRule="auto"/>
            </w:pPr>
            <w:r>
              <w:rPr>
                <w:sz w:val="18"/>
              </w:rPr>
              <w:t xml:space="preserve">Site readiness framework </w:t>
            </w:r>
            <w:r>
              <w:rPr>
                <w:sz w:val="18"/>
                <w:vertAlign w:val="subscript"/>
              </w:rPr>
              <w:t>[29]</w:t>
            </w:r>
          </w:p>
        </w:tc>
        <w:tc>
          <w:tcPr>
            <w:tcW w:type="dxa" w:w="1728"/>
          </w:tcPr>
          <w:p>
            <w:pPr>
              <w:spacing w:line="240" w:lineRule="auto"/>
            </w:pPr>
            <w:r>
              <w:rPr>
                <w:sz w:val="18"/>
              </w:rPr>
              <w:t>Six domains of readiness, including quality oversight, built from sponsor qualifications</w:t>
            </w:r>
          </w:p>
        </w:tc>
        <w:tc>
          <w:tcPr>
            <w:tcW w:type="dxa" w:w="1728"/>
          </w:tcPr>
          <w:p>
            <w:pPr>
              <w:spacing w:line="240" w:lineRule="auto"/>
            </w:pPr>
            <w:r>
              <w:rPr>
                <w:sz w:val="18"/>
              </w:rPr>
              <w:t>Sites preparing to enter research, and sponsors</w:t>
            </w:r>
          </w:p>
        </w:tc>
        <w:tc>
          <w:tcPr>
            <w:tcW w:type="dxa" w:w="1728"/>
          </w:tcPr>
          <w:p>
            <w:pPr>
              <w:spacing w:line="240" w:lineRule="auto"/>
            </w:pPr>
            <w:r>
              <w:rPr>
                <w:sz w:val="18"/>
              </w:rPr>
              <w:t>Readiness to be selected; quality oversight is one domain of six</w:t>
            </w:r>
          </w:p>
        </w:tc>
      </w:tr>
      <w:tr>
        <w:tc>
          <w:tcPr>
            <w:tcW w:type="dxa" w:w="1728"/>
            <w:vMerge/>
          </w:tcPr>
          <w:p>
            <w:pPr>
              <w:spacing w:line="240" w:lineRule="auto"/>
            </w:pPr>
          </w:p>
        </w:tc>
        <w:tc>
          <w:tcPr>
            <w:tcW w:type="dxa" w:w="1728"/>
          </w:tcPr>
          <w:p>
            <w:pPr>
              <w:spacing w:line="240" w:lineRule="auto"/>
            </w:pPr>
            <w:r>
              <w:rPr>
                <w:sz w:val="18"/>
              </w:rPr>
              <w:t xml:space="preserve">CTAIM </w:t>
            </w:r>
            <w:r>
              <w:rPr>
                <w:sz w:val="18"/>
                <w:vertAlign w:val="subscript"/>
              </w:rPr>
              <w:t>[30]</w:t>
            </w:r>
          </w:p>
        </w:tc>
        <w:tc>
          <w:tcPr>
            <w:tcW w:type="dxa" w:w="1728"/>
          </w:tcPr>
          <w:p>
            <w:pPr>
              <w:spacing w:line="240" w:lineRule="auto"/>
            </w:pPr>
            <w:r>
              <w:rPr>
                <w:sz w:val="18"/>
              </w:rPr>
              <w:t>Eleven infrastructure attributes scored in annual self-assessment by community research programs</w:t>
            </w:r>
          </w:p>
        </w:tc>
        <w:tc>
          <w:tcPr>
            <w:tcW w:type="dxa" w:w="1728"/>
          </w:tcPr>
          <w:p>
            <w:pPr>
              <w:spacing w:line="240" w:lineRule="auto"/>
            </w:pPr>
            <w:r>
              <w:rPr>
                <w:sz w:val="18"/>
              </w:rPr>
              <w:t>Site, yearly</w:t>
            </w:r>
          </w:p>
        </w:tc>
        <w:tc>
          <w:tcPr>
            <w:tcW w:type="dxa" w:w="1728"/>
          </w:tcPr>
          <w:p>
            <w:pPr>
              <w:spacing w:line="240" w:lineRule="auto"/>
            </w:pPr>
            <w:r>
              <w:rPr>
                <w:sz w:val="18"/>
              </w:rPr>
              <w:t>The closest site-operated precedent; it assesses the program's infrastructure across studies</w:t>
            </w:r>
          </w:p>
        </w:tc>
      </w:tr>
      <w:tr>
        <w:tc>
          <w:tcPr>
            <w:tcW w:type="dxa" w:w="1728"/>
            <w:vMerge/>
          </w:tcPr>
          <w:p>
            <w:pPr>
              <w:spacing w:line="240" w:lineRule="auto"/>
            </w:pPr>
          </w:p>
        </w:tc>
        <w:tc>
          <w:tcPr>
            <w:tcW w:type="dxa" w:w="1728"/>
          </w:tcPr>
          <w:p>
            <w:pPr>
              <w:spacing w:line="240" w:lineRule="auto"/>
            </w:pPr>
            <w:r>
              <w:rPr>
                <w:sz w:val="18"/>
              </w:rPr>
              <w:t xml:space="preserve">ISO 9001:2015 in Italian trial centers </w:t>
            </w:r>
            <w:r>
              <w:rPr>
                <w:sz w:val="18"/>
                <w:vertAlign w:val="subscript"/>
              </w:rPr>
              <w:t>[31]</w:t>
            </w:r>
          </w:p>
        </w:tc>
        <w:tc>
          <w:tcPr>
            <w:tcW w:type="dxa" w:w="1728"/>
          </w:tcPr>
          <w:p>
            <w:pPr>
              <w:spacing w:line="240" w:lineRule="auto"/>
            </w:pPr>
            <w:r>
              <w:rPr>
                <w:sz w:val="18"/>
              </w:rPr>
              <w:t>Expected benefits and barriers of certification, with organizational workload and training as the main barriers</w:t>
            </w:r>
          </w:p>
        </w:tc>
        <w:tc>
          <w:tcPr>
            <w:tcW w:type="dxa" w:w="1728"/>
          </w:tcPr>
          <w:p>
            <w:pPr>
              <w:spacing w:line="240" w:lineRule="auto"/>
            </w:pPr>
            <w:r>
              <w:rPr>
                <w:sz w:val="18"/>
              </w:rPr>
              <w:t>Site, with external certification</w:t>
            </w:r>
          </w:p>
        </w:tc>
        <w:tc>
          <w:tcPr>
            <w:tcW w:type="dxa" w:w="1728"/>
          </w:tcPr>
          <w:p>
            <w:pPr>
              <w:spacing w:line="240" w:lineRule="auto"/>
            </w:pPr>
            <w:r>
              <w:rPr>
                <w:sz w:val="18"/>
              </w:rPr>
              <w:t>A generic quality system without the CtQ content of a device investigation</w:t>
            </w:r>
          </w:p>
        </w:tc>
      </w:tr>
      <w:tr>
        <w:tc>
          <w:tcPr>
            <w:tcW w:type="dxa" w:w="1728"/>
            <w:vMerge/>
          </w:tcPr>
          <w:p>
            <w:pPr>
              <w:spacing w:line="240" w:lineRule="auto"/>
            </w:pPr>
          </w:p>
        </w:tc>
        <w:tc>
          <w:tcPr>
            <w:tcW w:type="dxa" w:w="1728"/>
          </w:tcPr>
          <w:p>
            <w:pPr>
              <w:spacing w:line="240" w:lineRule="auto"/>
            </w:pPr>
            <w:r>
              <w:rPr>
                <w:sz w:val="18"/>
              </w:rPr>
              <w:t xml:space="preserve">Clinical Trial Site Performance Measure </w:t>
            </w:r>
            <w:r>
              <w:rPr>
                <w:sz w:val="18"/>
                <w:vertAlign w:val="subscript"/>
              </w:rPr>
              <w:t>[41]</w:t>
            </w:r>
          </w:p>
        </w:tc>
        <w:tc>
          <w:tcPr>
            <w:tcW w:type="dxa" w:w="1728"/>
          </w:tcPr>
          <w:p>
            <w:pPr>
              <w:spacing w:line="240" w:lineRule="auto"/>
            </w:pPr>
            <w:r>
              <w:rPr>
                <w:sz w:val="18"/>
              </w:rPr>
              <w:t>18 indicators in four domains, reduced from 126, and a short form that identifies underperforming sites</w:t>
            </w:r>
          </w:p>
        </w:tc>
        <w:tc>
          <w:tcPr>
            <w:tcW w:type="dxa" w:w="1728"/>
          </w:tcPr>
          <w:p>
            <w:pPr>
              <w:spacing w:line="240" w:lineRule="auto"/>
            </w:pPr>
            <w:r>
              <w:rPr>
                <w:sz w:val="18"/>
              </w:rPr>
              <w:t>External assessor or network</w:t>
            </w:r>
          </w:p>
        </w:tc>
        <w:tc>
          <w:tcPr>
            <w:tcW w:type="dxa" w:w="1728"/>
          </w:tcPr>
          <w:p>
            <w:pPr>
              <w:spacing w:line="240" w:lineRule="auto"/>
            </w:pPr>
            <w:r>
              <w:rPr>
                <w:sz w:val="18"/>
              </w:rPr>
              <w:t>Four domains correspond to four of our six indicators; the measure compares sites</w:t>
            </w:r>
          </w:p>
        </w:tc>
      </w:tr>
      <w:tr>
        <w:tc>
          <w:tcPr>
            <w:tcW w:type="dxa" w:w="1728"/>
            <w:vMerge/>
          </w:tcPr>
          <w:p>
            <w:pPr>
              <w:spacing w:line="240" w:lineRule="auto"/>
            </w:pPr>
          </w:p>
        </w:tc>
        <w:tc>
          <w:tcPr>
            <w:tcW w:type="dxa" w:w="1728"/>
          </w:tcPr>
          <w:p>
            <w:pPr>
              <w:spacing w:line="240" w:lineRule="auto"/>
            </w:pPr>
            <w:r>
              <w:rPr>
                <w:sz w:val="18"/>
              </w:rPr>
              <w:t xml:space="preserve">Academic trial unit services </w:t>
            </w:r>
            <w:r>
              <w:rPr>
                <w:sz w:val="18"/>
                <w:vertAlign w:val="subscript"/>
              </w:rPr>
              <w:t>[90]</w:t>
            </w:r>
            <w:r>
              <w:rPr>
                <w:sz w:val="18"/>
              </w:rPr>
              <w:t xml:space="preserve">; institutional research management system </w:t>
            </w:r>
            <w:r>
              <w:rPr>
                <w:sz w:val="18"/>
                <w:vertAlign w:val="subscript"/>
              </w:rPr>
              <w:t>[89]</w:t>
            </w:r>
          </w:p>
        </w:tc>
        <w:tc>
          <w:tcPr>
            <w:tcW w:type="dxa" w:w="1728"/>
          </w:tcPr>
          <w:p>
            <w:pPr>
              <w:spacing w:line="240" w:lineRule="auto"/>
            </w:pPr>
            <w:r>
              <w:rPr>
                <w:sz w:val="18"/>
              </w:rPr>
              <w:t>Quality management ranked as an essential trial unit service; institutional metrics drawn from a research management system</w:t>
            </w:r>
          </w:p>
        </w:tc>
        <w:tc>
          <w:tcPr>
            <w:tcW w:type="dxa" w:w="1728"/>
          </w:tcPr>
          <w:p>
            <w:pPr>
              <w:spacing w:line="240" w:lineRule="auto"/>
            </w:pPr>
            <w:r>
              <w:rPr>
                <w:sz w:val="18"/>
              </w:rPr>
              <w:t>Academic institutions</w:t>
            </w:r>
          </w:p>
        </w:tc>
        <w:tc>
          <w:tcPr>
            <w:tcW w:type="dxa" w:w="1728"/>
          </w:tcPr>
          <w:p>
            <w:pPr>
              <w:spacing w:line="240" w:lineRule="auto"/>
            </w:pPr>
            <w:r>
              <w:rPr>
                <w:sz w:val="18"/>
              </w:rPr>
              <w:t>Infrastructure the target center lacks; the academic level can refer to it</w:t>
            </w:r>
          </w:p>
        </w:tc>
      </w:tr>
      <w:tr>
        <w:tc>
          <w:tcPr>
            <w:tcW w:type="dxa" w:w="1728"/>
            <w:vMerge/>
          </w:tcPr>
          <w:p>
            <w:pPr>
              <w:spacing w:line="240" w:lineRule="auto"/>
            </w:pPr>
          </w:p>
        </w:tc>
        <w:tc>
          <w:tcPr>
            <w:tcW w:type="dxa" w:w="1728"/>
          </w:tcPr>
          <w:p>
            <w:pPr>
              <w:spacing w:line="240" w:lineRule="auto"/>
            </w:pPr>
            <w:r>
              <w:rPr>
                <w:sz w:val="18"/>
              </w:rPr>
              <w:t xml:space="preserve">Primer on establishing a trial site </w:t>
            </w:r>
            <w:r>
              <w:rPr>
                <w:sz w:val="18"/>
                <w:vertAlign w:val="subscript"/>
              </w:rPr>
              <w:t>[74]</w:t>
            </w:r>
            <w:r>
              <w:rPr>
                <w:sz w:val="18"/>
              </w:rPr>
              <w:t xml:space="preserve">; role of the site PI </w:t>
            </w:r>
            <w:r>
              <w:rPr>
                <w:sz w:val="18"/>
                <w:vertAlign w:val="subscript"/>
              </w:rPr>
              <w:t>[73]</w:t>
            </w:r>
            <w:r>
              <w:rPr>
                <w:sz w:val="18"/>
              </w:rPr>
              <w:t xml:space="preserve">; guide for migrating sites to ICH E6(R3) </w:t>
            </w:r>
            <w:r>
              <w:rPr>
                <w:sz w:val="18"/>
                <w:vertAlign w:val="subscript"/>
              </w:rPr>
              <w:t>[86]</w:t>
            </w:r>
          </w:p>
        </w:tc>
        <w:tc>
          <w:tcPr>
            <w:tcW w:type="dxa" w:w="1728"/>
          </w:tcPr>
          <w:p>
            <w:pPr>
              <w:spacing w:line="240" w:lineRule="auto"/>
            </w:pPr>
            <w:r>
              <w:rPr>
                <w:sz w:val="18"/>
              </w:rPr>
              <w:t>What a new site has to assemble, the workload of site PIs, practical steps toward E6(R3)</w:t>
            </w:r>
          </w:p>
        </w:tc>
        <w:tc>
          <w:tcPr>
            <w:tcW w:type="dxa" w:w="1728"/>
          </w:tcPr>
          <w:p>
            <w:pPr>
              <w:spacing w:line="240" w:lineRule="auto"/>
            </w:pPr>
            <w:r>
              <w:rPr>
                <w:sz w:val="18"/>
              </w:rPr>
              <w:t>Sites</w:t>
            </w:r>
          </w:p>
        </w:tc>
        <w:tc>
          <w:tcPr>
            <w:tcW w:type="dxa" w:w="1728"/>
          </w:tcPr>
          <w:p>
            <w:pPr>
              <w:spacing w:line="240" w:lineRule="auto"/>
            </w:pPr>
            <w:r>
              <w:rPr>
                <w:sz w:val="18"/>
              </w:rPr>
              <w:t>Describe what a site needs, without a structure organized around the CtQ domains of a device investigation</w:t>
            </w:r>
          </w:p>
        </w:tc>
      </w:tr>
      <w:tr>
        <w:tc>
          <w:tcPr>
            <w:tcW w:type="dxa" w:w="1728"/>
            <w:vMerge w:val="restart"/>
            <w:shd w:val="clear" w:color="auto" w:fill="F2F2F2"/>
          </w:tcPr>
          <w:p>
            <w:pPr>
              <w:spacing w:line="240" w:lineRule="auto"/>
            </w:pPr>
            <w:r>
              <w:rPr>
                <w:b/>
                <w:sz w:val="18"/>
              </w:rPr>
              <w:t>Empirical studies of site practice</w:t>
            </w:r>
          </w:p>
        </w:tc>
        <w:tc>
          <w:tcPr>
            <w:tcW w:type="dxa" w:w="1728"/>
          </w:tcPr>
          <w:p>
            <w:pPr>
              <w:spacing w:line="240" w:lineRule="auto"/>
            </w:pPr>
            <w:r>
              <w:rPr>
                <w:sz w:val="18"/>
              </w:rPr>
              <w:t xml:space="preserve">Data quality management in Australian trials </w:t>
            </w:r>
            <w:r>
              <w:rPr>
                <w:sz w:val="18"/>
                <w:vertAlign w:val="subscript"/>
              </w:rPr>
              <w:t>[42]</w:t>
            </w:r>
          </w:p>
        </w:tc>
        <w:tc>
          <w:tcPr>
            <w:tcW w:type="dxa" w:w="1728"/>
          </w:tcPr>
          <w:p>
            <w:pPr>
              <w:spacing w:line="240" w:lineRule="auto"/>
            </w:pPr>
            <w:r>
              <w:rPr>
                <w:sz w:val="18"/>
              </w:rPr>
              <w:t>Ad hoc methods; half of the responding trials with a data management plan</w:t>
            </w:r>
          </w:p>
        </w:tc>
        <w:tc>
          <w:tcPr>
            <w:tcW w:type="dxa" w:w="1728"/>
          </w:tcPr>
          <w:p>
            <w:pPr>
              <w:spacing w:line="240" w:lineRule="auto"/>
            </w:pPr>
            <w:r>
              <w:rPr>
                <w:sz w:val="18"/>
              </w:rPr>
              <w:t>Descriptive survey</w:t>
            </w:r>
          </w:p>
        </w:tc>
        <w:tc>
          <w:tcPr>
            <w:tcW w:type="dxa" w:w="1728"/>
          </w:tcPr>
          <w:p>
            <w:pPr>
              <w:spacing w:line="240" w:lineRule="auto"/>
            </w:pPr>
            <w:r>
              <w:rPr>
                <w:sz w:val="18"/>
              </w:rPr>
              <w:t>Supports the absence of a standard site method</w:t>
            </w:r>
          </w:p>
        </w:tc>
      </w:tr>
      <w:tr>
        <w:tc>
          <w:tcPr>
            <w:tcW w:type="dxa" w:w="1728"/>
            <w:vMerge/>
          </w:tcPr>
          <w:p>
            <w:pPr>
              <w:spacing w:line="240" w:lineRule="auto"/>
            </w:pPr>
          </w:p>
        </w:tc>
        <w:tc>
          <w:tcPr>
            <w:tcW w:type="dxa" w:w="1728"/>
          </w:tcPr>
          <w:p>
            <w:pPr>
              <w:spacing w:line="240" w:lineRule="auto"/>
            </w:pPr>
            <w:r>
              <w:rPr>
                <w:sz w:val="18"/>
              </w:rPr>
              <w:t xml:space="preserve">Monitoring linked to quality management principles </w:t>
            </w:r>
            <w:r>
              <w:rPr>
                <w:sz w:val="18"/>
                <w:vertAlign w:val="subscript"/>
              </w:rPr>
              <w:t>[43]</w:t>
            </w:r>
          </w:p>
        </w:tc>
        <w:tc>
          <w:tcPr>
            <w:tcW w:type="dxa" w:w="1728"/>
          </w:tcPr>
          <w:p>
            <w:pPr>
              <w:spacing w:line="240" w:lineRule="auto"/>
            </w:pPr>
            <w:r>
              <w:rPr>
                <w:sz w:val="18"/>
              </w:rPr>
              <w:t>Risk-based monitoring is adequate only when prerequisites at the site are met</w:t>
            </w:r>
          </w:p>
        </w:tc>
        <w:tc>
          <w:tcPr>
            <w:tcW w:type="dxa" w:w="1728"/>
          </w:tcPr>
          <w:p>
            <w:pPr>
              <w:spacing w:line="240" w:lineRule="auto"/>
            </w:pPr>
            <w:r>
              <w:rPr>
                <w:sz w:val="18"/>
              </w:rPr>
              <w:t>Commentary</w:t>
            </w:r>
          </w:p>
        </w:tc>
        <w:tc>
          <w:tcPr>
            <w:tcW w:type="dxa" w:w="1728"/>
          </w:tcPr>
          <w:p>
            <w:pPr>
              <w:spacing w:line="240" w:lineRule="auto"/>
            </w:pPr>
            <w:r>
              <w:rPr>
                <w:sz w:val="18"/>
              </w:rPr>
              <w:t>Names the site prerequisite the framework builds</w:t>
            </w:r>
          </w:p>
        </w:tc>
      </w:tr>
      <w:tr>
        <w:tc>
          <w:tcPr>
            <w:tcW w:type="dxa" w:w="1728"/>
            <w:vMerge/>
          </w:tcPr>
          <w:p>
            <w:pPr>
              <w:spacing w:line="240" w:lineRule="auto"/>
            </w:pPr>
          </w:p>
        </w:tc>
        <w:tc>
          <w:tcPr>
            <w:tcW w:type="dxa" w:w="1728"/>
          </w:tcPr>
          <w:p>
            <w:pPr>
              <w:spacing w:line="240" w:lineRule="auto"/>
            </w:pPr>
            <w:r>
              <w:rPr>
                <w:sz w:val="18"/>
              </w:rPr>
              <w:t xml:space="preserve">Adverse event reporting in a pediatric oncology network </w:t>
            </w:r>
            <w:r>
              <w:rPr>
                <w:sz w:val="18"/>
                <w:vertAlign w:val="subscript"/>
              </w:rPr>
              <w:t>[45]</w:t>
            </w:r>
          </w:p>
        </w:tc>
        <w:tc>
          <w:tcPr>
            <w:tcW w:type="dxa" w:w="1728"/>
          </w:tcPr>
          <w:p>
            <w:pPr>
              <w:spacing w:line="240" w:lineRule="auto"/>
            </w:pPr>
            <w:r>
              <w:rPr>
                <w:sz w:val="18"/>
              </w:rPr>
              <w:t>Standardized ascertainment at 51.2% of respondents; smaller sites tracked events on paper</w:t>
            </w:r>
          </w:p>
        </w:tc>
        <w:tc>
          <w:tcPr>
            <w:tcW w:type="dxa" w:w="1728"/>
          </w:tcPr>
          <w:p>
            <w:pPr>
              <w:spacing w:line="240" w:lineRule="auto"/>
            </w:pPr>
            <w:r>
              <w:rPr>
                <w:sz w:val="18"/>
              </w:rPr>
              <w:t>Descriptive survey</w:t>
            </w:r>
          </w:p>
        </w:tc>
        <w:tc>
          <w:tcPr>
            <w:tcW w:type="dxa" w:w="1728"/>
          </w:tcPr>
          <w:p>
            <w:pPr>
              <w:spacing w:line="240" w:lineRule="auto"/>
            </w:pPr>
            <w:r>
              <w:rPr>
                <w:sz w:val="18"/>
              </w:rPr>
              <w:t>Supports the design of the safety records and the paper floor</w:t>
            </w:r>
          </w:p>
        </w:tc>
      </w:tr>
      <w:tr>
        <w:tc>
          <w:tcPr>
            <w:tcW w:type="dxa" w:w="1728"/>
            <w:vMerge/>
          </w:tcPr>
          <w:p>
            <w:pPr>
              <w:spacing w:line="240" w:lineRule="auto"/>
            </w:pPr>
          </w:p>
        </w:tc>
        <w:tc>
          <w:tcPr>
            <w:tcW w:type="dxa" w:w="1728"/>
          </w:tcPr>
          <w:p>
            <w:pPr>
              <w:spacing w:line="240" w:lineRule="auto"/>
            </w:pPr>
            <w:r>
              <w:rPr>
                <w:sz w:val="18"/>
              </w:rPr>
              <w:t xml:space="preserve">Perceptions of risk-based monitoring </w:t>
            </w:r>
            <w:r>
              <w:rPr>
                <w:sz w:val="18"/>
                <w:vertAlign w:val="subscript"/>
              </w:rPr>
              <w:t>[46, 47]</w:t>
            </w:r>
          </w:p>
        </w:tc>
        <w:tc>
          <w:tcPr>
            <w:tcW w:type="dxa" w:w="1728"/>
          </w:tcPr>
          <w:p>
            <w:pPr>
              <w:spacing w:line="240" w:lineRule="auto"/>
            </w:pPr>
            <w:r>
              <w:rPr>
                <w:sz w:val="18"/>
              </w:rPr>
              <w:t>Site staff meet risk-based monitoring through the sponsor and ask for training</w:t>
            </w:r>
          </w:p>
        </w:tc>
        <w:tc>
          <w:tcPr>
            <w:tcW w:type="dxa" w:w="1728"/>
          </w:tcPr>
          <w:p>
            <w:pPr>
              <w:spacing w:line="240" w:lineRule="auto"/>
            </w:pPr>
            <w:r>
              <w:rPr>
                <w:sz w:val="18"/>
              </w:rPr>
              <w:t>Survey and review</w:t>
            </w:r>
          </w:p>
        </w:tc>
        <w:tc>
          <w:tcPr>
            <w:tcW w:type="dxa" w:w="1728"/>
          </w:tcPr>
          <w:p>
            <w:pPr>
              <w:spacing w:line="240" w:lineRule="auto"/>
            </w:pPr>
            <w:r>
              <w:rPr>
                <w:sz w:val="18"/>
              </w:rPr>
              <w:t>The site takes part in risk-based quality management as a recipient</w:t>
            </w:r>
          </w:p>
        </w:tc>
      </w:tr>
      <w:tr>
        <w:tc>
          <w:tcPr>
            <w:tcW w:type="dxa" w:w="1728"/>
            <w:vMerge/>
          </w:tcPr>
          <w:p>
            <w:pPr>
              <w:spacing w:line="240" w:lineRule="auto"/>
            </w:pPr>
          </w:p>
        </w:tc>
        <w:tc>
          <w:tcPr>
            <w:tcW w:type="dxa" w:w="1728"/>
          </w:tcPr>
          <w:p>
            <w:pPr>
              <w:spacing w:line="240" w:lineRule="auto"/>
            </w:pPr>
            <w:r>
              <w:rPr>
                <w:sz w:val="18"/>
              </w:rPr>
              <w:t xml:space="preserve">Risk management at Portuguese sites </w:t>
            </w:r>
            <w:r>
              <w:rPr>
                <w:sz w:val="18"/>
                <w:vertAlign w:val="subscript"/>
              </w:rPr>
              <w:t>[77]</w:t>
            </w:r>
          </w:p>
        </w:tc>
        <w:tc>
          <w:tcPr>
            <w:tcW w:type="dxa" w:w="1728"/>
          </w:tcPr>
          <w:p>
            <w:pPr>
              <w:spacing w:line="240" w:lineRule="auto"/>
            </w:pPr>
            <w:r>
              <w:rPr>
                <w:sz w:val="18"/>
              </w:rPr>
              <w:t>19.6% of sites with a site-level risk tool; most willing to use one built for their needs</w:t>
            </w:r>
          </w:p>
        </w:tc>
        <w:tc>
          <w:tcPr>
            <w:tcW w:type="dxa" w:w="1728"/>
          </w:tcPr>
          <w:p>
            <w:pPr>
              <w:spacing w:line="240" w:lineRule="auto"/>
            </w:pPr>
            <w:r>
              <w:rPr>
                <w:sz w:val="18"/>
              </w:rPr>
              <w:t>Descriptive survey</w:t>
            </w:r>
          </w:p>
        </w:tc>
        <w:tc>
          <w:tcPr>
            <w:tcW w:type="dxa" w:w="1728"/>
          </w:tcPr>
          <w:p>
            <w:pPr>
              <w:spacing w:line="240" w:lineRule="auto"/>
            </w:pPr>
            <w:r>
              <w:rPr>
                <w:sz w:val="18"/>
              </w:rPr>
              <w:t>The closest measurement of Gap 2</w:t>
            </w:r>
          </w:p>
        </w:tc>
      </w:tr>
      <w:tr>
        <w:tc>
          <w:tcPr>
            <w:tcW w:type="dxa" w:w="1728"/>
            <w:vMerge/>
          </w:tcPr>
          <w:p>
            <w:pPr>
              <w:spacing w:line="240" w:lineRule="auto"/>
            </w:pPr>
          </w:p>
        </w:tc>
        <w:tc>
          <w:tcPr>
            <w:tcW w:type="dxa" w:w="1728"/>
          </w:tcPr>
          <w:p>
            <w:pPr>
              <w:spacing w:line="240" w:lineRule="auto"/>
            </w:pPr>
            <w:r>
              <w:rPr>
                <w:sz w:val="18"/>
              </w:rPr>
              <w:t xml:space="preserve">Quality management perception in investigator-initiated trials </w:t>
            </w:r>
            <w:r>
              <w:rPr>
                <w:sz w:val="18"/>
                <w:vertAlign w:val="subscript"/>
              </w:rPr>
              <w:t>[88]</w:t>
            </w:r>
          </w:p>
        </w:tc>
        <w:tc>
          <w:tcPr>
            <w:tcW w:type="dxa" w:w="1728"/>
          </w:tcPr>
          <w:p>
            <w:pPr>
              <w:spacing w:line="240" w:lineRule="auto"/>
            </w:pPr>
            <w:r>
              <w:rPr>
                <w:sz w:val="18"/>
              </w:rPr>
              <w:t>Better performance in higher-level hospitals, with room for improvement at all levels</w:t>
            </w:r>
          </w:p>
        </w:tc>
        <w:tc>
          <w:tcPr>
            <w:tcW w:type="dxa" w:w="1728"/>
          </w:tcPr>
          <w:p>
            <w:pPr>
              <w:spacing w:line="240" w:lineRule="auto"/>
            </w:pPr>
            <w:r>
              <w:rPr>
                <w:sz w:val="18"/>
              </w:rPr>
              <w:t>Descriptive survey</w:t>
            </w:r>
          </w:p>
        </w:tc>
        <w:tc>
          <w:tcPr>
            <w:tcW w:type="dxa" w:w="1728"/>
          </w:tcPr>
          <w:p>
            <w:pPr>
              <w:spacing w:line="240" w:lineRule="auto"/>
            </w:pPr>
            <w:r>
              <w:rPr>
                <w:sz w:val="18"/>
              </w:rPr>
              <w:t>Organizational category does not establish capacity</w:t>
            </w:r>
          </w:p>
        </w:tc>
      </w:tr>
      <w:tr>
        <w:tc>
          <w:tcPr>
            <w:tcW w:type="dxa" w:w="1728"/>
            <w:vMerge/>
          </w:tcPr>
          <w:p>
            <w:pPr>
              <w:spacing w:line="240" w:lineRule="auto"/>
            </w:pPr>
          </w:p>
        </w:tc>
        <w:tc>
          <w:tcPr>
            <w:tcW w:type="dxa" w:w="1728"/>
          </w:tcPr>
          <w:p>
            <w:pPr>
              <w:spacing w:line="240" w:lineRule="auto"/>
            </w:pPr>
            <w:r>
              <w:rPr>
                <w:sz w:val="18"/>
              </w:rPr>
              <w:t xml:space="preserve">Risk-based monitoring in implantable cardiac device trials </w:t>
            </w:r>
            <w:r>
              <w:rPr>
                <w:sz w:val="18"/>
                <w:vertAlign w:val="subscript"/>
              </w:rPr>
              <w:t>[48]</w:t>
            </w:r>
          </w:p>
        </w:tc>
        <w:tc>
          <w:tcPr>
            <w:tcW w:type="dxa" w:w="1728"/>
          </w:tcPr>
          <w:p>
            <w:pPr>
              <w:spacing w:line="240" w:lineRule="auto"/>
            </w:pPr>
            <w:r>
              <w:rPr>
                <w:sz w:val="18"/>
              </w:rPr>
              <w:t>A sponsor ranked 133 sites by risk; the worst-performing groups improved within one year</w:t>
            </w:r>
          </w:p>
        </w:tc>
        <w:tc>
          <w:tcPr>
            <w:tcW w:type="dxa" w:w="1728"/>
          </w:tcPr>
          <w:p>
            <w:pPr>
              <w:spacing w:line="240" w:lineRule="auto"/>
            </w:pPr>
            <w:r>
              <w:rPr>
                <w:sz w:val="18"/>
              </w:rPr>
              <w:t>Sponsor, during conduct</w:t>
            </w:r>
          </w:p>
        </w:tc>
        <w:tc>
          <w:tcPr>
            <w:tcW w:type="dxa" w:w="1728"/>
          </w:tcPr>
          <w:p>
            <w:pPr>
              <w:spacing w:line="240" w:lineRule="auto"/>
            </w:pPr>
            <w:r>
              <w:rPr>
                <w:sz w:val="18"/>
              </w:rPr>
              <w:t>A device precedent; its three main risk factors match three of our indicators</w:t>
            </w:r>
          </w:p>
        </w:tc>
      </w:tr>
    </w:tbl>
    <w:p/>
    <w:p>
      <w:pPr>
        <w:ind w:firstLine="720"/>
        <w:jc w:val="both"/>
      </w:pPr>
      <w:r>
        <w:t>The table can be read along two axes, the party that holds the instrument and the moment at which it acts. Sponsor infrastructure is held by the sponsor and acts throughout the trial from outside the site. Surgical quality assurance is held by the trial team and acts mainly before the first case. Performance and readiness measures are applied to the site by another party, or by the site to its whole program once a year. The empirical studies describe practice and hold no instrument. In what we found, the position of an instrument held by the site and used during the conduct of one investigation is almost empty. The CTAIM and the ISO 9001 experience come closest, and both act on the research program as a whole, on an annual or certification cycle.</w:t>
      </w:r>
    </w:p>
    <w:p>
      <w:pPr>
        <w:ind w:firstLine="720"/>
        <w:jc w:val="both"/>
      </w:pPr>
      <w:r>
        <w:t>That position is empty for a structural reason. Each body of work has its own unit of analysis. For the sponsor literature the unit is the trial, for surgical quality assurance it is the intervention and the operator at entry, and for the performance literature it is the site as a supplier of data to someone else. The conduct of one investigation by one site is the unit of none of them, so none of them had a reason to build an instrument for it. The gap is therefore a product of how the field divided the problem, and the framework occupies a space the existing divisions did not cover.</w:t>
      </w:r>
    </w:p>
    <w:p>
      <w:pPr>
        <w:ind w:firstLine="720"/>
        <w:jc w:val="both"/>
      </w:pPr>
      <w:r>
        <w:t xml:space="preserve">Two literatures that bear on surgical device investigations have developed apart. Research on medicinal product trials has built site-level measures and site-level signals, where operator learning barely arises because the intervention is a compound with a defined dose. Surgical methodology has studied operator learning in detail without turning it into an instrument the site runs. The IDEAL recommendations already proposed statistical process control to follow learning curves </w:t>
      </w:r>
      <w:r>
        <w:rPr>
          <w:vertAlign w:val="subscript"/>
        </w:rPr>
        <w:t>[18]</w:t>
      </w:r>
      <w:r>
        <w:t>, so the method existed. It was framed as a way to evaluate an innovation, and the evaluation belonged to researchers. The SLCT carries the same concern to the site as a quality control. It uses a structured clinical review in place of formal process control, because a single site rarely has enough cases for control limits.</w:t>
      </w:r>
    </w:p>
    <w:p>
      <w:pPr>
        <w:ind w:firstLine="720"/>
        <w:jc w:val="both"/>
      </w:pPr>
      <w:r>
        <w:t xml:space="preserve">The RBQM adoption survey changes how the SRR should be read. Identification of CtQ factors was among the least used of 32 practices, even though the companies most advanced in RBQM had used nearly all components in at least one trial </w:t>
      </w:r>
      <w:r>
        <w:rPr>
          <w:vertAlign w:val="subscript"/>
        </w:rPr>
        <w:t>[13]</w:t>
      </w:r>
      <w:r>
        <w:t>. The framework assumes that the site starts its register from the protocol and from the sponsor's information on critical factors and risks. If that information is often missing because the sponsor never formalized it, the site has to derive the factors from the CIP alone. The weakest step of risk-based quality management may therefore lie upstream of the site, and the site register can become the place where CtQ thinking about local processes is done for the first time.</w:t>
      </w:r>
    </w:p>
    <w:p>
      <w:pPr>
        <w:ind w:firstLine="720"/>
        <w:jc w:val="both"/>
      </w:pPr>
      <w:r>
        <w:t xml:space="preserve">The comparison with the Clinical Trial Site Performance Measure is the most direct test of our indicator set </w:t>
      </w:r>
      <w:r>
        <w:rPr>
          <w:vertAlign w:val="subscript"/>
        </w:rPr>
        <w:t>[41]</w:t>
      </w:r>
      <w:r>
        <w:t>. That measure was built from a systematic review, expert consultation, and statistical reduction in six academic hospitals, by a route independent of ours, and it arrived at domains that match four of our six indicators. Enrollment quality and follow-up compliance correspond to retention and consent, critical data completeness to data completeness and timeliness, safety reporting timeliness to adverse event reporting, and the deviation rate to protocol compliance. This convergence is modest support that the domain analysis chose the right processes. The comparison also shows two differences that a reader should weigh. The validated measure includes consent as an indicator, while our framework covers consent only through the eligibility record, so a site whose register rates consent as a high risk should add a consent measure. The validated measure was also built to identify underperforming sites through a short form of four items, so it compares sites. Our indicators were built to tell one site that a process has started to drift, and they deliberately make no comparison between sites or between surgeons. The validated set is the better evidenced of the two, and the two serve different users.</w:t>
      </w:r>
    </w:p>
    <w:p>
      <w:pPr>
        <w:ind w:firstLine="720"/>
        <w:jc w:val="both"/>
      </w:pPr>
      <w:r>
        <w:t xml:space="preserve">The central monitoring evidence supports the mechanism the framework relies on, with one caution. In an analysis of 1,111 sites flagged by statistical monitoring, data quality improved at 83% of them after a follow-up investigation, compared with 56% in two historical studies without that monitoring </w:t>
      </w:r>
      <w:r>
        <w:rPr>
          <w:vertAlign w:val="subscript"/>
        </w:rPr>
        <w:t>[44]</w:t>
      </w:r>
      <w:r>
        <w:t xml:space="preserve">. The improvement followed a signal that reached the site and a response that the site made. The framework moves the origin of that signal inside the site and earlier in time. The historical comparison is weak, so the figure shows that sites can respond to signals more than it shows how much a signal improves quality. Diani and colleagues reported a similar pattern in implantable cardiac device trials </w:t>
      </w:r>
      <w:r>
        <w:rPr>
          <w:vertAlign w:val="subscript"/>
        </w:rPr>
        <w:t>[48]</w:t>
      </w:r>
      <w:r>
        <w:t>. A sponsor ranked 133 sites, and within one year the worst-performing groups improved in follow-up compliance, critical data availability, and noncompliance. These three factors correspond to three of our indicators, which suggests that these processes can be moved by action at the site. In that study the sponsor ran the approach and the sites were the units it ranked, and cardiac rhythm devices depend far less on operator technique than a shoulder arthroplasty does.</w:t>
      </w:r>
    </w:p>
    <w:p>
      <w:pPr>
        <w:ind w:firstLine="720"/>
        <w:jc w:val="both"/>
      </w:pPr>
      <w:r>
        <w:t xml:space="preserve">The works on site infrastructure show two existing routes by which a site obtains a quality system. One is certification of a generic system, as in the Italian centers, where organizational workload and insufficient training were the main barriers </w:t>
      </w:r>
      <w:r>
        <w:rPr>
          <w:vertAlign w:val="subscript"/>
        </w:rPr>
        <w:t>[31]</w:t>
      </w:r>
      <w:r>
        <w:t xml:space="preserve">. The other is institutional infrastructure, such as a research management system integrated with the hospital's records </w:t>
      </w:r>
      <w:r>
        <w:rPr>
          <w:vertAlign w:val="subscript"/>
        </w:rPr>
        <w:t>[89]</w:t>
      </w:r>
      <w:r>
        <w:t xml:space="preserve">, or a clinical trial unit whose senior staff rank quality management among its most essential services </w:t>
      </w:r>
      <w:r>
        <w:rPr>
          <w:vertAlign w:val="subscript"/>
        </w:rPr>
        <w:t>[90]</w:t>
      </w:r>
      <w:r>
        <w:t>. Both routes require resources that a nonhospital organization does not have, and neither carries the CtQ content of a device investigation. In an academic hospital part of the quality function comes from the trial unit. In a nonhospital organization the instruments themselves have to carry it, which is why the framework sets its minimum level there.</w:t>
      </w:r>
    </w:p>
    <w:p>
      <w:pPr>
        <w:ind w:firstLine="720"/>
        <w:jc w:val="both"/>
      </w:pPr>
      <w:r>
        <w:t xml:space="preserve">The quality improvement literature gives a warning that concerns the evaluation of this framework more than its design. In surgical oncology, 86 of 97 non-randomized studies reported a positive effect, against 2 of 12 randomized trials, and most included studies were uncontrolled before-and-after designs </w:t>
      </w:r>
      <w:r>
        <w:rPr>
          <w:vertAlign w:val="subscript"/>
        </w:rPr>
        <w:t>[40]</w:t>
      </w:r>
      <w:r>
        <w:t>. A site that adopts the framework and compares its own results before and after adoption would very probably report an improvement. Such a result would say little about the framework. Its evaluation needs a concurrent comparison, a point we return to in Section 5.6.</w:t>
      </w:r>
    </w:p>
    <w:p>
      <w:pPr>
        <w:ind w:firstLine="720"/>
        <w:jc w:val="both"/>
      </w:pPr>
      <w:r>
        <w:t>Our search returned no published direct comparison of ICH E6(R3) and ISO 14155. Because the review was narrative, this absence describes what we found, and a systematic search could still find such a comparison or a site-level framework we did not reach.</w:t>
      </w:r>
    </w:p>
    <w:p>
      <w:pPr>
        <w:pStyle w:val="Heading2"/>
      </w:pPr>
      <w:r>
        <w:t>5.3 Putting the framework to work</w:t>
      </w:r>
    </w:p>
    <w:p>
      <w:pPr>
        <w:ind w:firstLine="720"/>
        <w:jc w:val="both"/>
      </w:pPr>
      <w:r>
        <w:t>Chapter 4 describes the instruments by pillar, which is the order in which a reader understands them. A site starts them in a different order, set by the lifecycle and by the dependencies between instruments. This section gives that order as a route a site can follow and describes the meeting that keeps the instruments connected. It then names the ways in which implementation is most likely to fail and states what the framework is expected to change. The route assumes a site using the full set and indicates where the minimum level differs.</w:t>
      </w:r>
    </w:p>
    <w:p>
      <w:pPr>
        <w:pStyle w:val="Heading3"/>
      </w:pPr>
      <w:r>
        <w:t>5.3.1 A route through the lifecycle</w:t>
      </w:r>
    </w:p>
    <w:p>
      <w:pPr>
        <w:ind w:firstLine="720"/>
        <w:jc w:val="both"/>
      </w:pPr>
      <w:r>
        <w:rPr>
          <w:b/>
        </w:rPr>
        <w:t>Step 1.</w:t>
      </w:r>
      <w:r>
        <w:t xml:space="preserve"> Decide whether to take the investigation. During feasibility the site reads the CIP and whatever the sponsor provides on critical factors and risks, and checks each CtQ domain against its own capacity. The questions are practical. Can the radiology service produce the required views within the windows? Do the surgeons have experience with comparable procedures? Is there a coordinator, and can participants return for several years of follow-up? The site then takes its organizational category as a first estimate of its implementation level and checks it against its actual staff and services. If the device or technique is new to the surgeons, the risk register will add the learning curve log. If the controls the investigation requires exceed what the site can run, the site asks the sponsor for support, such as proctoring, or declines. The answer goes to the sponsor and informs its judgment of the site under Clause 6.8 of ISO 14155:2026. At the academic level the MRL opens here, and at other levels the POT records the decision.</w:t>
      </w:r>
    </w:p>
    <w:p>
      <w:pPr>
        <w:ind w:firstLine="720"/>
        <w:jc w:val="both"/>
      </w:pPr>
      <w:r>
        <w:rPr>
          <w:b/>
        </w:rPr>
        <w:t>Step 2.</w:t>
      </w:r>
      <w:r>
        <w:t xml:space="preserve"> Name the people. Start-up begins with the RACI, because nothing else can be assigned until each of the six functions has a holder, a backup, and a limit of authority. When the PI is also a surgeon in the investigation, the site names at this point the person who will decide on the PI's own authorization (Section 5.5.4).</w:t>
      </w:r>
    </w:p>
    <w:p>
      <w:pPr>
        <w:ind w:firstLine="720"/>
        <w:jc w:val="both"/>
      </w:pPr>
      <w:r>
        <w:rPr>
          <w:b/>
        </w:rPr>
        <w:t>Step 3.</w:t>
      </w:r>
      <w:r>
        <w:t xml:space="preserve"> Prepare and release the people. The site sets the training each role requires, through the DTRM or the sponsor's requirements, delivers the training, and records each person's release in the TRE. Each surgeon then receives a credentialing decision in the SCR, which uses the release on device training as one input and places the surgeon in one of the four categories. Only then do the delegation grades in the CCDM, or the limits recorded in the RACI at lower levels, become active. The order is requirements, training, release, credentialing, and delegation, and no person is delegated a task before being released for it.</w:t>
      </w:r>
    </w:p>
    <w:p>
      <w:pPr>
        <w:ind w:firstLine="720"/>
        <w:jc w:val="both"/>
      </w:pPr>
      <w:r>
        <w:rPr>
          <w:b/>
        </w:rPr>
        <w:t>Step 4.</w:t>
      </w:r>
      <w:r>
        <w:t xml:space="preserve"> Open the risk register. The SRR opens before the first participant. For each CtQ domain the site identifies the factors its own conduct can affect, links each local risk to the factor it threatens, rates it, and names an owner, a control, and a trigger for reassessment. In a shoulder investigation the first entries usually concern the capture of implant identifiers in the operating room, the late documentation of an intraoperative change, the reproducibility of imaging positions, and the visit windows of a long follow-up. The register also decides which optional instruments the site adds above its minimum set, so the implementation level is confirmed only after this step.</w:t>
      </w:r>
    </w:p>
    <w:p>
      <w:pPr>
        <w:ind w:firstLine="720"/>
        <w:jc w:val="both"/>
      </w:pPr>
      <w:r>
        <w:rPr>
          <w:b/>
        </w:rPr>
        <w:t>Step 5.</w:t>
      </w:r>
      <w:r>
        <w:t xml:space="preserve"> Fix the rules before any data exist. The site defines the basis of comparison of the learning curve log, with its complexity levels, expected operative durations, and early support. It sets the thresholds of the complication review and the rule and control values of each indicator. It writes the scope of internal verification, choosing among the ten checks, their frequency and sample, the reviewer, and the trigger for an earlier review. It also maps the source of each critical datum, including whether the ICDL serves as the source for the intraoperative data the CIP requires. Finally, it sets the dates of the oversight meetings, with a review of safety cases at least once a month. Each rule is dated, and a rule changed later applies only to future periods.</w:t>
      </w:r>
    </w:p>
    <w:p>
      <w:pPr>
        <w:ind w:firstLine="720"/>
        <w:jc w:val="both"/>
      </w:pPr>
      <w:r>
        <w:rPr>
          <w:b/>
        </w:rPr>
        <w:t>Step 6.</w:t>
      </w:r>
      <w:r>
        <w:t xml:space="preserve"> Pass the readiness gate. The PI confirms at the review that closes start-up that each of these steps is complete and records the implementation level and the instruments added by risk. Fifteen of the twenty-four instruments have acted by this point, although no participant data exist yet.</w:t>
      </w:r>
    </w:p>
    <w:p>
      <w:pPr>
        <w:ind w:firstLine="720"/>
        <w:jc w:val="both"/>
      </w:pPr>
      <w:r>
        <w:rPr>
          <w:b/>
        </w:rPr>
        <w:t>Step 7.</w:t>
      </w:r>
      <w:r>
        <w:t xml:space="preserve"> Keep the participant records as the data arise. Each person considered enters the screening log. Each eligibility decision is documented in the PSEAR before enrollment, with a second review for criteria that depend on imaging. Each image set enters the IQL at acquisition. The ICDL is completed in the operating room during the procedure, and the learning curve log takes its case entry from it. Any event, from the operating room onward, opens a case in the SART and an entry in the SCML. Each follow-up visit is documented in the PFVR. These five records are the only ones that must be completed at the clinical moment. All other instruments read them.</w:t>
      </w:r>
    </w:p>
    <w:p>
      <w:pPr>
        <w:ind w:firstLine="720"/>
        <w:jc w:val="both"/>
      </w:pPr>
      <w:r>
        <w:rPr>
          <w:b/>
        </w:rPr>
        <w:t>Step 8.</w:t>
      </w:r>
      <w:r>
        <w:t xml:space="preserve"> Bring the first reviews forward. Internal verification runs its first review after the first inclusions. The learning curve review takes place after each surgeon's first cases, and the safety review takes place in the first month. Early reviews find the problems of a new workflow while few participants have been exposed to them.</w:t>
      </w:r>
    </w:p>
    <w:p>
      <w:pPr>
        <w:ind w:firstLine="720"/>
        <w:jc w:val="both"/>
      </w:pPr>
      <w:r>
        <w:rPr>
          <w:b/>
        </w:rPr>
        <w:t>Step 9.</w:t>
      </w:r>
      <w:r>
        <w:t xml:space="preserve"> Escalate events without waiting for the meeting. An event that meets an escalation trigger in the CCDM goes to the PI at once, and the PI's decision is recorded in the POT.</w:t>
      </w:r>
    </w:p>
    <w:p>
      <w:pPr>
        <w:ind w:firstLine="720"/>
        <w:jc w:val="both"/>
      </w:pPr>
      <w:r>
        <w:rPr>
          <w:b/>
        </w:rPr>
        <w:t>Step 10.</w:t>
      </w:r>
      <w:r>
        <w:t xml:space="preserve"> Close and carry forward. At close-out the site reconciles device accountability, safety cases, and the screening log against the eligibility records, and runs a final internal review. Each corrective action closes with an effectiveness review or with a documented limitation. The PIDLR records the lessons, the standing procedures are revised, and the instruments that outlive the investigation pass to the next one (Section 5.4.2).</w:t>
      </w:r>
    </w:p>
    <w:p>
      <w:pPr>
        <w:pStyle w:val="Heading3"/>
      </w:pPr>
      <w:r>
        <w:t>5.3.2 The monthly cycle</w:t>
      </w:r>
    </w:p>
    <w:p>
      <w:pPr>
        <w:ind w:firstLine="720"/>
        <w:jc w:val="both"/>
      </w:pPr>
      <w:r>
        <w:t>The oversight meeting is where the instruments meet, and its agenda has an order. Safety comes first. Open cases in the SART are reviewed, and the CSST counts events by category, component, and surgeon against the number of procedures. Each signal is routed. A signal tied to a surgeon goes to the learning curve review, a signal pointing to the device goes to the sponsor through the deficiency route, and a pattern in a local process goes to the risk register or to corrective action. The surgeons come second, through the learning curve log and the consistency indicator, and they come after safety because operative time cannot be interpreted without knowing which cases had complications. The review can confirm stable execution or lead to closer observation, retraining, or proctoring. A restriction returns to the SCR, passes to the delegation records, and is checked in the ICDL at the surgeon's next case. The indicators follow, read against the rules fixed in Step 5 as under control, needing closer review, or needing action, followed by the findings of internal verification. The risk register closes the agenda, receiving the new risks and the triggers met during the session. The PI records the decisions in the POT. A corrective action opens when the first response has failed, and it closes when the indicator that prompted it returns under control.</w:t>
      </w:r>
    </w:p>
    <w:p>
      <w:pPr>
        <w:ind w:firstLine="720"/>
        <w:jc w:val="both"/>
      </w:pPr>
      <w:r>
        <w:t>At the minimum level the meeting carries more. Without the SLCT, the CSST, and the PIR, the meeting itself reads the substitutions recorded in the ICDL, reviews the SART cases together, and checks follow-up through the FUCR. The minimum level therefore depends on one recurring meeting more than on any single instrument. A site at that level that misses its meetings loses the synthesis that the higher levels spread across several instruments, and it does so without any record showing that the synthesis is missing.</w:t>
      </w:r>
    </w:p>
    <w:p>
      <w:pPr>
        <w:pStyle w:val="Heading3"/>
      </w:pPr>
      <w:r>
        <w:t>5.3.3 Where implementation is likely to fail</w:t>
      </w:r>
    </w:p>
    <w:p>
      <w:pPr>
        <w:ind w:firstLine="720"/>
        <w:jc w:val="both"/>
      </w:pPr>
      <w:r>
        <w:t>The design anticipates six ways in which a site can operate the instruments and still lose their function.</w:t>
      </w:r>
    </w:p>
    <w:p>
      <w:pPr>
        <w:ind w:firstLine="720"/>
        <w:jc w:val="both"/>
      </w:pPr>
      <w:r>
        <w:t>The first is a risk register copied from the sponsor's risk list. The register then holds trial risks the site cannot control and misses the local ones. The guard is that each entry names a local cause and an owner from the RACI.</w:t>
      </w:r>
    </w:p>
    <w:p>
      <w:pPr>
        <w:ind w:firstLine="720"/>
        <w:jc w:val="both"/>
      </w:pPr>
      <w:r>
        <w:t>The second is a rule set after the data are known. A threshold moved to avoid an action removes the purpose of the indicator. The guard is that rules are dated at start-up and any change applies only to future periods.</w:t>
      </w:r>
    </w:p>
    <w:p>
      <w:pPr>
        <w:ind w:firstLine="720"/>
        <w:jc w:val="both"/>
      </w:pPr>
      <w:r>
        <w:t>The third is an ICDL completed after surgery from the operative note. The record then exists but has lost the property that justified it, capture at the moment the data arise. Internal verification checks the timeliness of operative records, and a record completed late is a finding.</w:t>
      </w:r>
    </w:p>
    <w:p>
      <w:pPr>
        <w:ind w:firstLine="720"/>
        <w:jc w:val="both"/>
      </w:pPr>
      <w:r>
        <w:t>The fourth is a meeting that becomes a formality. Decisions are repeated from month to month without effect. The corrective action process guards against this, since an action closes only when its effect has been reviewed.</w:t>
      </w:r>
    </w:p>
    <w:p>
      <w:pPr>
        <w:ind w:firstLine="720"/>
        <w:jc w:val="both"/>
      </w:pPr>
      <w:r>
        <w:t>The fifth is a review that meets the letter of independence without its substance. In a team of two, the coordinator who reviews the operative documentation of the surgeon may be the surgeon's employee. The reviewer is a different person, as the framework requires, but is not independent of the person reviewed. A peer from another site, a reciprocal arrangement in which two small sites review each other's records, or a sponsor monitor who examines the internal reviews are possible answers, and none of them is in the current design.</w:t>
      </w:r>
    </w:p>
    <w:p>
      <w:pPr>
        <w:ind w:firstLine="720"/>
        <w:jc w:val="both"/>
      </w:pPr>
      <w:r>
        <w:t>The sixth is a set of instruments run as parallel records, where the same value is written in two places and the versions drift apart. The source rule of Section 4.4.4 guards against this, as long as the source map of Step 5 has been made.</w:t>
      </w:r>
    </w:p>
    <w:p>
      <w:pPr>
        <w:pStyle w:val="Heading3"/>
      </w:pPr>
      <w:r>
        <w:t>5.3.4 What the framework is expected to change</w:t>
      </w:r>
    </w:p>
    <w:p>
      <w:pPr>
        <w:ind w:firstLine="720"/>
        <w:jc w:val="both"/>
      </w:pPr>
      <w:r>
        <w:t>The framework rests on a chain in which a record made at the clinical moment is read with other records, the synthesis supports a decision, and the decision returns as the condition the next record is checked against. Its value depends on that chain closing in time, and the design can only make that possible. The expected effects are therefore propositions. Table 5.2 states each one with the mechanism behind it, the observation that would refute it, and the measure that would test it.</w:t>
      </w:r>
    </w:p>
    <w:p>
      <w:pPr>
        <w:spacing w:before="120" w:after="80"/>
      </w:pPr>
      <w:r>
        <w:rPr>
          <w:i/>
          <w:sz w:val="20"/>
        </w:rPr>
        <w:t>Table 5.2. The propositions on the effects of the framework, each with its mechanism, the observation that would refute it, and the measure that would test it.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r>
              <w:rPr>
                <w:b/>
                <w:sz w:val="18"/>
              </w:rPr>
              <w:t>Proposition</w:t>
            </w:r>
          </w:p>
        </w:tc>
        <w:tc>
          <w:tcPr>
            <w:tcW w:type="dxa" w:w="2160"/>
            <w:shd w:val="clear" w:color="auto" w:fill="D9D9D9"/>
          </w:tcPr>
          <w:p>
            <w:r/>
            <w:r>
              <w:rPr>
                <w:b/>
                <w:sz w:val="18"/>
              </w:rPr>
              <w:t>Mechanism</w:t>
            </w:r>
          </w:p>
        </w:tc>
        <w:tc>
          <w:tcPr>
            <w:tcW w:type="dxa" w:w="2160"/>
            <w:shd w:val="clear" w:color="auto" w:fill="D9D9D9"/>
          </w:tcPr>
          <w:p>
            <w:r/>
            <w:r>
              <w:rPr>
                <w:b/>
                <w:sz w:val="18"/>
              </w:rPr>
              <w:t>Refuted if</w:t>
            </w:r>
          </w:p>
        </w:tc>
        <w:tc>
          <w:tcPr>
            <w:tcW w:type="dxa" w:w="2160"/>
            <w:shd w:val="clear" w:color="auto" w:fill="D9D9D9"/>
          </w:tcPr>
          <w:p>
            <w:r/>
            <w:r>
              <w:rPr>
                <w:b/>
                <w:sz w:val="18"/>
              </w:rPr>
              <w:t>Measure</w:t>
            </w:r>
          </w:p>
        </w:tc>
      </w:tr>
      <w:tr>
        <w:tc>
          <w:tcPr>
            <w:tcW w:type="dxa" w:w="2160"/>
          </w:tcPr>
          <w:p>
            <w:pPr>
              <w:spacing w:line="240" w:lineRule="auto"/>
            </w:pPr>
            <w:r>
              <w:rPr>
                <w:sz w:val="18"/>
              </w:rPr>
              <w:t>P1. The learning curve log and the consistency indicator detect procedural drift before it appears as a complication or a protocol deviation</w:t>
            </w:r>
          </w:p>
        </w:tc>
        <w:tc>
          <w:tcPr>
            <w:tcW w:type="dxa" w:w="2160"/>
          </w:tcPr>
          <w:p>
            <w:pPr>
              <w:spacing w:line="240" w:lineRule="auto"/>
            </w:pPr>
            <w:r>
              <w:rPr>
                <w:sz w:val="18"/>
              </w:rPr>
              <w:t>Each case is compared with the same surgeon's earlier cases of the same complexity</w:t>
            </w:r>
          </w:p>
        </w:tc>
        <w:tc>
          <w:tcPr>
            <w:tcW w:type="dxa" w:w="2160"/>
          </w:tcPr>
          <w:p>
            <w:pPr>
              <w:spacing w:line="240" w:lineRule="auto"/>
            </w:pPr>
            <w:r>
              <w:rPr>
                <w:sz w:val="18"/>
              </w:rPr>
              <w:t>The first signal in the log does not precede the first related event in the safety or deviation records</w:t>
            </w:r>
          </w:p>
        </w:tc>
        <w:tc>
          <w:tcPr>
            <w:tcW w:type="dxa" w:w="2160"/>
          </w:tcPr>
          <w:p>
            <w:pPr>
              <w:spacing w:line="240" w:lineRule="auto"/>
            </w:pPr>
            <w:r>
              <w:rPr>
                <w:sz w:val="18"/>
              </w:rPr>
              <w:t>Time from first signal to first related event</w:t>
            </w:r>
          </w:p>
        </w:tc>
      </w:tr>
      <w:tr>
        <w:tc>
          <w:tcPr>
            <w:tcW w:type="dxa" w:w="2160"/>
          </w:tcPr>
          <w:p>
            <w:pPr>
              <w:spacing w:line="240" w:lineRule="auto"/>
            </w:pPr>
            <w:r>
              <w:rPr>
                <w:sz w:val="18"/>
              </w:rPr>
              <w:t>P2. A site that runs internal verification and corrective action during conduct reaches close-out with fewer unresolved items</w:t>
            </w:r>
          </w:p>
        </w:tc>
        <w:tc>
          <w:tcPr>
            <w:tcW w:type="dxa" w:w="2160"/>
          </w:tcPr>
          <w:p>
            <w:pPr>
              <w:spacing w:line="240" w:lineRule="auto"/>
            </w:pPr>
            <w:r>
              <w:rPr>
                <w:sz w:val="18"/>
              </w:rPr>
              <w:t>Problems are corrected in the phase where they arise</w:t>
            </w:r>
          </w:p>
        </w:tc>
        <w:tc>
          <w:tcPr>
            <w:tcW w:type="dxa" w:w="2160"/>
          </w:tcPr>
          <w:p>
            <w:pPr>
              <w:spacing w:line="240" w:lineRule="auto"/>
            </w:pPr>
            <w:r>
              <w:rPr>
                <w:sz w:val="18"/>
              </w:rPr>
              <w:t>Close-out workload does not differ from that of comparable sites</w:t>
            </w:r>
          </w:p>
        </w:tc>
        <w:tc>
          <w:tcPr>
            <w:tcW w:type="dxa" w:w="2160"/>
          </w:tcPr>
          <w:p>
            <w:pPr>
              <w:spacing w:line="240" w:lineRule="auto"/>
            </w:pPr>
            <w:r>
              <w:rPr>
                <w:sz w:val="18"/>
              </w:rPr>
              <w:t>Open queries at database lock; staff hours spent on close-out</w:t>
            </w:r>
          </w:p>
        </w:tc>
      </w:tr>
      <w:tr>
        <w:tc>
          <w:tcPr>
            <w:tcW w:type="dxa" w:w="2160"/>
          </w:tcPr>
          <w:p>
            <w:pPr>
              <w:spacing w:line="240" w:lineRule="auto"/>
            </w:pPr>
            <w:r>
              <w:rPr>
                <w:sz w:val="18"/>
              </w:rPr>
              <w:t>P3. A site detects its own deviations before the monitor does</w:t>
            </w:r>
          </w:p>
        </w:tc>
        <w:tc>
          <w:tcPr>
            <w:tcW w:type="dxa" w:w="2160"/>
          </w:tcPr>
          <w:p>
            <w:pPr>
              <w:spacing w:line="240" w:lineRule="auto"/>
            </w:pPr>
            <w:r>
              <w:rPr>
                <w:sz w:val="18"/>
              </w:rPr>
              <w:t>Internal verification runs between sponsor visits</w:t>
            </w:r>
          </w:p>
        </w:tc>
        <w:tc>
          <w:tcPr>
            <w:tcW w:type="dxa" w:w="2160"/>
          </w:tcPr>
          <w:p>
            <w:pPr>
              <w:spacing w:line="240" w:lineRule="auto"/>
            </w:pPr>
            <w:r>
              <w:rPr>
                <w:sz w:val="18"/>
              </w:rPr>
              <w:t>Monitors find most deviations first</w:t>
            </w:r>
          </w:p>
        </w:tc>
        <w:tc>
          <w:tcPr>
            <w:tcW w:type="dxa" w:w="2160"/>
          </w:tcPr>
          <w:p>
            <w:pPr>
              <w:spacing w:line="240" w:lineRule="auto"/>
            </w:pPr>
            <w:r>
              <w:rPr>
                <w:sz w:val="18"/>
              </w:rPr>
              <w:t>Share of deviations first recorded by the site</w:t>
            </w:r>
          </w:p>
        </w:tc>
      </w:tr>
      <w:tr>
        <w:tc>
          <w:tcPr>
            <w:tcW w:type="dxa" w:w="2160"/>
          </w:tcPr>
          <w:p>
            <w:pPr>
              <w:spacing w:line="240" w:lineRule="auto"/>
            </w:pPr>
            <w:r>
              <w:rPr>
                <w:sz w:val="18"/>
              </w:rPr>
              <w:t>P4. Monitors spend less time reconstructing site conduct</w:t>
            </w:r>
          </w:p>
        </w:tc>
        <w:tc>
          <w:tcPr>
            <w:tcW w:type="dxa" w:w="2160"/>
          </w:tcPr>
          <w:p>
            <w:pPr>
              <w:spacing w:line="240" w:lineRule="auto"/>
            </w:pPr>
            <w:r>
              <w:rPr>
                <w:sz w:val="18"/>
              </w:rPr>
              <w:t>The site hands over its own risk, delegation, and correction records</w:t>
            </w:r>
          </w:p>
        </w:tc>
        <w:tc>
          <w:tcPr>
            <w:tcW w:type="dxa" w:w="2160"/>
          </w:tcPr>
          <w:p>
            <w:pPr>
              <w:spacing w:line="240" w:lineRule="auto"/>
            </w:pPr>
            <w:r>
              <w:rPr>
                <w:sz w:val="18"/>
              </w:rPr>
              <w:t>Monitoring time does not change</w:t>
            </w:r>
          </w:p>
        </w:tc>
        <w:tc>
          <w:tcPr>
            <w:tcW w:type="dxa" w:w="2160"/>
          </w:tcPr>
          <w:p>
            <w:pPr>
              <w:spacing w:line="240" w:lineRule="auto"/>
            </w:pPr>
            <w:r>
              <w:rPr>
                <w:sz w:val="18"/>
              </w:rPr>
              <w:t>Monitoring time per visit with and without the site records</w:t>
            </w:r>
          </w:p>
        </w:tc>
      </w:tr>
      <w:tr>
        <w:tc>
          <w:tcPr>
            <w:tcW w:type="dxa" w:w="2160"/>
          </w:tcPr>
          <w:p>
            <w:pPr>
              <w:spacing w:line="240" w:lineRule="auto"/>
            </w:pPr>
            <w:r>
              <w:rPr>
                <w:sz w:val="18"/>
              </w:rPr>
              <w:t>P5. Safety cases reach the sponsor within the CIP interval more often</w:t>
            </w:r>
          </w:p>
        </w:tc>
        <w:tc>
          <w:tcPr>
            <w:tcW w:type="dxa" w:w="2160"/>
          </w:tcPr>
          <w:p>
            <w:pPr>
              <w:spacing w:line="240" w:lineRule="auto"/>
            </w:pPr>
            <w:r>
              <w:rPr>
                <w:sz w:val="18"/>
              </w:rPr>
              <w:t>The monthly review on the site's own schedule finds the stage where delays arise</w:t>
            </w:r>
          </w:p>
        </w:tc>
        <w:tc>
          <w:tcPr>
            <w:tcW w:type="dxa" w:w="2160"/>
          </w:tcPr>
          <w:p>
            <w:pPr>
              <w:spacing w:line="240" w:lineRule="auto"/>
            </w:pPr>
            <w:r>
              <w:rPr>
                <w:sz w:val="18"/>
              </w:rPr>
              <w:t>Timeliness does not improve after the first reviews</w:t>
            </w:r>
          </w:p>
        </w:tc>
        <w:tc>
          <w:tcPr>
            <w:tcW w:type="dxa" w:w="2160"/>
          </w:tcPr>
          <w:p>
            <w:pPr>
              <w:spacing w:line="240" w:lineRule="auto"/>
            </w:pPr>
            <w:r>
              <w:rPr>
                <w:sz w:val="18"/>
              </w:rPr>
              <w:t>Share of timely initial notifications</w:t>
            </w:r>
          </w:p>
        </w:tc>
      </w:tr>
      <w:tr>
        <w:tc>
          <w:tcPr>
            <w:tcW w:type="dxa" w:w="2160"/>
          </w:tcPr>
          <w:p>
            <w:pPr>
              <w:spacing w:line="240" w:lineRule="auto"/>
            </w:pPr>
            <w:r>
              <w:rPr>
                <w:sz w:val="18"/>
              </w:rPr>
              <w:t>P6. The site keeps its history through changes of staff or monitor</w:t>
            </w:r>
          </w:p>
        </w:tc>
        <w:tc>
          <w:tcPr>
            <w:tcW w:type="dxa" w:w="2160"/>
          </w:tcPr>
          <w:p>
            <w:pPr>
              <w:spacing w:line="240" w:lineRule="auto"/>
            </w:pPr>
            <w:r>
              <w:rPr>
                <w:sz w:val="18"/>
              </w:rPr>
              <w:t>Decisions, deviations, and their reasons are dated and held at the site</w:t>
            </w:r>
          </w:p>
        </w:tc>
        <w:tc>
          <w:tcPr>
            <w:tcW w:type="dxa" w:w="2160"/>
          </w:tcPr>
          <w:p>
            <w:pPr>
              <w:spacing w:line="240" w:lineRule="auto"/>
            </w:pPr>
            <w:r>
              <w:rPr>
                <w:sz w:val="18"/>
              </w:rPr>
              <w:t>Questions already settled are reopened after a handover</w:t>
            </w:r>
          </w:p>
        </w:tc>
        <w:tc>
          <w:tcPr>
            <w:tcW w:type="dxa" w:w="2160"/>
          </w:tcPr>
          <w:p>
            <w:pPr>
              <w:spacing w:line="240" w:lineRule="auto"/>
            </w:pPr>
            <w:r>
              <w:rPr>
                <w:sz w:val="18"/>
              </w:rPr>
              <w:t>Items reopened after a change of coordinator or monitor</w:t>
            </w:r>
          </w:p>
        </w:tc>
      </w:tr>
    </w:tbl>
    <w:p/>
    <w:p>
      <w:pPr>
        <w:ind w:firstLine="720"/>
        <w:jc w:val="both"/>
      </w:pPr>
      <w:r>
        <w:t>A record does not improve conduct by existing. The narrower claim we can defend is that controls written for a specific activity leave fewer failures unnoticed, so the framework acts on the probability that a failure goes undetected. Failures can come from lapses, competing demands on the same person, systems that do not fit the work, or unclear requirements, and the framework addresses those that nobody noticed in time, whatever produced them. It does not address deliberate misconduct, because a person who intends to misrepresent conduct can misrepresent the record as well. Even if conduct did not change at all, the site would hold a complete and traceable record of what it did. That record helps the reconstruction of a case years later, and it serves the manufacturer whose post-market obligations depend on it. Whether that record protects a participant depends on someone reviewing it and acting in time.</w:t>
      </w:r>
    </w:p>
    <w:p>
      <w:pPr>
        <w:ind w:firstLine="720"/>
        <w:jc w:val="both"/>
      </w:pPr>
      <w:r>
        <w:t>Observation may also change behavior, in two directions. Staff who know that their work is reviewed may attend more closely to it, and the review teaches which elements matter. The same pressure can improve the record while the conduct stays the same. Two features of the design reduce that risk. The instruments record decisions, identifiers, and dates with classifications attached, so a device identifier is either captured or missing, and most records are read by someone other than the person who wrote them.</w:t>
      </w:r>
    </w:p>
    <w:p>
      <w:pPr>
        <w:ind w:firstLine="720"/>
        <w:jc w:val="both"/>
      </w:pPr>
      <w:r>
        <w:t>The indicators need a more careful reading than Chapter 4 could give them. Three of them read a process while it runs, namely enrollment quality, critical data completeness, and surgeon procedural consistency. The other three count events that have already happened, although each can still give an early signal of a deterioration that has not yet reached a participant or an endpoint. There is a further limit specific to a single site. With few cases in each review period, a single event is often enough to cross from control to closer review or action. In the target center the indicators therefore work mainly as a structured review of events on a fixed schedule, with rules fixed in advance. Their value at that scale comes from the cadence and from the fixed rule, and their statistical properties matter less. DR8 asks for indicators that expose drift, and at this scale the set meets it as a warning system whose predictive value is still unknown.</w:t>
      </w:r>
    </w:p>
    <w:p>
      <w:pPr>
        <w:pStyle w:val="Heading2"/>
      </w:pPr>
      <w:r>
        <w:t>5.4 Scaling and transfer</w:t>
      </w:r>
    </w:p>
    <w:p>
      <w:pPr>
        <w:pStyle w:val="Heading3"/>
      </w:pPr>
      <w:r>
        <w:t>5.4.1 What the minimum level gives up</w:t>
      </w:r>
    </w:p>
    <w:p>
      <w:pPr>
        <w:ind w:firstLine="720"/>
        <w:jc w:val="both"/>
      </w:pPr>
      <w:r>
        <w:t>The framework scales by the number of instruments in use, with each instrument keeping its form. This choice rests on a premise we could not source. Inspection assesses compliance through the completeness and consistency of the records, and every implementation level keeps the records that ISO 14155:2026 and the MDR require, so a site at the minimum level should carry no additional regulatory exposure. We found no study comparing inspection outcomes across quality systems of different scope, and a reader who rejects the premise should also reject the scalability argument.</w:t>
      </w:r>
    </w:p>
    <w:p>
      <w:pPr>
        <w:ind w:firstLine="720"/>
        <w:jc w:val="both"/>
      </w:pPr>
      <w:r>
        <w:t>The minimum level gives up three things that Chapter 4 accepts openly. The meeting reviews less often than dedicated instruments would, so a signal may be noticed later. One person may hold several functions, which weakens the separation between execution and oversight that DR10 asks for. The independence of review is reduced to the requirement that the reviewer is not the person who did the work.</w:t>
      </w:r>
    </w:p>
    <w:p>
      <w:pPr>
        <w:ind w:firstLine="720"/>
        <w:jc w:val="both"/>
      </w:pPr>
      <w:r>
        <w:t>Three further losses are less visible. The first concerns the proxies. At the minimum level the visit record is the CRF, the screening log is the sponsor's, and imaging readiness follows the sponsor's charter. These records sit in systems the sponsor controls, and the site's access to an electronic data capture system usually ends after close-out. Part of the site's history is therefore held in records the site will not keep, so the memory that DR10 asks for is weakest at the very level where staff turnover hurts most. A site at the minimum level should keep, at close-out, a copy under its own control of the proxy records it relied on, or use the PFVR from the start when follow-up runs for several years.</w:t>
      </w:r>
    </w:p>
    <w:p>
      <w:pPr>
        <w:ind w:firstLine="720"/>
        <w:jc w:val="both"/>
      </w:pPr>
      <w:r>
        <w:t>The second concerns the stage of the investigation. The risk register adds the learning curve log for a new implant design or technique. In a premarket investigation the device is new to every surgeon by definition, so that rule will almost always fire, and the effective minimum for a nonhospital organization becomes thirteen instruments. The minimum of twelve applies in practice to investigations of devices already in the surgeon's use, such as post-market clinical follow-up. The SLCT is the answer to the only gap without a counterpart obligation, and it is formally optional in the setting the framework was designed for. The risk register brings it back exactly where the learning curve exists.</w:t>
      </w:r>
    </w:p>
    <w:p>
      <w:pPr>
        <w:ind w:firstLine="720"/>
        <w:jc w:val="both"/>
      </w:pPr>
      <w:r>
        <w:t>The third concerns who chooses the level. The PI records the implementation level at the end of start-up, and the PI is also among the people who carry the work each level adds. A site has a reason to choose the lowest level its category allows. The rule that a site able to use more instruments should do so has no external check, except that the sponsor can see the recorded level at qualification and ask for the reasoning.</w:t>
      </w:r>
    </w:p>
    <w:p>
      <w:pPr>
        <w:ind w:firstLine="720"/>
        <w:jc w:val="both"/>
      </w:pPr>
      <w:r>
        <w:t>The lifecycle adds one more tension. Fifteen of the twenty-four instruments act during start-up, the phase in which sponsors measure how fast a site is activated. The framework places the most work at the moment of greatest pressure to start. Part of that work is done once and carried to the next investigation, which is the subject of the next section, so the first investigation pays most of the cost of setting up.</w:t>
      </w:r>
    </w:p>
    <w:p>
      <w:pPr>
        <w:pStyle w:val="Heading3"/>
      </w:pPr>
      <w:r>
        <w:t>5.4.2 Instruments that outlive the investigation</w:t>
      </w:r>
    </w:p>
    <w:p>
      <w:pPr>
        <w:ind w:firstLine="720"/>
        <w:jc w:val="both"/>
      </w:pPr>
      <w:r>
        <w:t>Chapter 4 describes the framework for one investigation. A site that conducts several investigations, at once or in sequence, does not need to repeat all of it. Some instruments belong to the site and are kept across investigations, some hold a site structure filled with content from each investigation, and some are opened again for each investigation. Table 5.3 gives our classification.</w:t>
      </w:r>
    </w:p>
    <w:p>
      <w:pPr>
        <w:spacing w:before="120" w:after="80"/>
      </w:pPr>
      <w:r>
        <w:rPr>
          <w:i/>
          <w:sz w:val="20"/>
        </w:rPr>
        <w:t>Table 5.3. The twenty-four instruments classified by whether the site keeps them across investigations, keeps their structure with content specific to each investigation, or opens them again for each investigation.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
              <w:rPr>
                <w:b/>
                <w:sz w:val="18"/>
              </w:rPr>
              <w:t>Kept by the site across investigations</w:t>
            </w:r>
          </w:p>
        </w:tc>
        <w:tc>
          <w:tcPr>
            <w:tcW w:type="dxa" w:w="2880"/>
            <w:shd w:val="clear" w:color="auto" w:fill="D9D9D9"/>
          </w:tcPr>
          <w:p>
            <w:r/>
            <w:r>
              <w:rPr>
                <w:b/>
                <w:sz w:val="18"/>
              </w:rPr>
              <w:t>Site structure with content from each investigation</w:t>
            </w:r>
          </w:p>
        </w:tc>
        <w:tc>
          <w:tcPr>
            <w:tcW w:type="dxa" w:w="2880"/>
            <w:shd w:val="clear" w:color="auto" w:fill="D9D9D9"/>
          </w:tcPr>
          <w:p>
            <w:r/>
            <w:r>
              <w:rPr>
                <w:b/>
                <w:sz w:val="18"/>
              </w:rPr>
              <w:t>Opened for each investigation</w:t>
            </w:r>
          </w:p>
        </w:tc>
      </w:tr>
      <w:tr>
        <w:tc>
          <w:tcPr>
            <w:tcW w:type="dxa" w:w="2880"/>
          </w:tcPr>
          <w:p>
            <w:pPr>
              <w:spacing w:line="240" w:lineRule="auto"/>
            </w:pPr>
            <w:r>
              <w:rPr>
                <w:sz w:val="18"/>
              </w:rPr>
              <w:t>RACI, TRE, CAPA, PIDLR</w:t>
            </w:r>
          </w:p>
        </w:tc>
        <w:tc>
          <w:tcPr>
            <w:tcW w:type="dxa" w:w="2880"/>
          </w:tcPr>
          <w:p>
            <w:pPr>
              <w:spacing w:line="240" w:lineRule="auto"/>
            </w:pPr>
            <w:r>
              <w:rPr>
                <w:sz w:val="18"/>
              </w:rPr>
              <w:t>SRR, SCR, SIRR, POT, IMP, IMC, PIR, SLCT</w:t>
            </w:r>
          </w:p>
        </w:tc>
        <w:tc>
          <w:tcPr>
            <w:tcW w:type="dxa" w:w="2880"/>
          </w:tcPr>
          <w:p>
            <w:pPr>
              <w:spacing w:line="240" w:lineRule="auto"/>
            </w:pPr>
            <w:r>
              <w:rPr>
                <w:sz w:val="18"/>
              </w:rPr>
              <w:t>CCDM, DTRM, MRL, SCML, CSST, SART, PSEAR, SIFSL, ICDL, IQL, PFVR, FUCR</w:t>
            </w:r>
          </w:p>
        </w:tc>
      </w:tr>
    </w:tbl>
    <w:p/>
    <w:p>
      <w:pPr>
        <w:ind w:firstLine="720"/>
        <w:jc w:val="both"/>
      </w:pPr>
      <w:r>
        <w:t>This classification changes the reading of the effort the framework requires. The instruments opened for each investigation are mostly records of participants, procedures, and visits, so their effort grows with the number of cases. Site compensation is also calculated per procedure and per participant, so the work that grows with cases is the work for which the site is paid. The work for which no budget line exists is the setting up of the structure, and that work sits mainly in the instruments the site keeps or reuses. The cost the framework adds is therefore concentrated in the first investigation and decreases in the following ones. A site that conducts one investigation every few years carries most of that cost each time, while a site with a steady portfolio spreads it.</w:t>
      </w:r>
    </w:p>
    <w:p>
      <w:pPr>
        <w:jc w:val="both"/>
      </w:pPr>
      <w:r>
        <w:rPr>
          <w:highlight w:val="yellow"/>
        </w:rPr>
        <w:t>[Number to compute from the final registry dataset: organizations in the sample with more than one investigation, overall and among nonhospital organizations.]</w:t>
      </w:r>
    </w:p>
    <w:p>
      <w:pPr>
        <w:ind w:firstLine="720"/>
        <w:jc w:val="both"/>
      </w:pPr>
      <w:r>
        <w:t>Concurrent investigations raise two further points that Chapter 4 does not address. A site running several investigations needs one role structure, one training history, one corrective action log, and one oversight meeting that covers all of them, while the participant records stay separate for each investigation. A site that reads the framework as one set per investigation would duplicate the site-level records, and its estimate of the effort would be too high. The second point concerns the indicators. Safety reporting timeliness, critical data completeness, and the deviation rate by area measure processes of the site that are common to its investigations. Pooling their counts across investigations enlarges the small denominators that limit a single investigation. Surgeon consistency and complication patterns depend on the device and cannot be pooled across investigations of different devices. The data of investigations run for different sponsors are also confidential to each sponsor, so pooled counts can serve the site's internal review and cannot be reported to any one sponsor.</w:t>
      </w:r>
    </w:p>
    <w:p>
      <w:pPr>
        <w:ind w:firstLine="720"/>
        <w:jc w:val="both"/>
      </w:pPr>
      <w:r>
        <w:t>The learning curve log raises a question of its own. A surgeon's learning with a device continues from one investigation to the next. If a second investigation uses a device the surgeon already knows, its case sequence starts after the learning period. The basis of comparison set in Step 5 should then take the earlier cases into account where the site holds them.</w:t>
      </w:r>
    </w:p>
    <w:p>
      <w:pPr>
        <w:pStyle w:val="Heading3"/>
      </w:pPr>
      <w:r>
        <w:t>5.4.3 Transfer to other specialties</w:t>
      </w:r>
    </w:p>
    <w:p>
      <w:pPr>
        <w:ind w:firstLine="720"/>
        <w:jc w:val="both"/>
      </w:pPr>
      <w:r>
        <w:t>The framework was built for the shoulder, and Section 4.8 separated what is specific to that context from what is general. The complication categories, the imaging requirements, and the complexity levels of the learning curve log carry anatomical content. The fields, review triggers, and escalation rules carry none. Neither the MDR nor ISO 14155:2026 distinguishes a shoulder device from a knee or hip device, so the obligations behind the instruments apply across implant surgery, which makes transfer plausible without showing it.</w:t>
      </w:r>
    </w:p>
    <w:p>
      <w:pPr>
        <w:ind w:firstLine="720"/>
        <w:jc w:val="both"/>
      </w:pPr>
      <w:r>
        <w:t>The specialties differ in ways that go beyond content. In spine surgery a single procedure may implant several components, so traceability work per case grows and the ICDL needs more entries for each procedure. In robot-assisted or navigated arthroplasty, part of the execution moves from the surgeon's hands to a system, and the learning curve becomes the learning of a surgeon working with a system. The logic of the SLCT still applies, but its basis of comparison has to separate the surgeon's experience from the system's. In hip and knee arthroplasty, higher procedure volumes would give the indicators larger denominators than the shoulder allows. The claim does not hold for surgical investigations without an implant, where unit traceability does not arise, or for device investigations without surgery, where operator dependence takes another form.</w:t>
      </w:r>
    </w:p>
    <w:p>
      <w:pPr>
        <w:ind w:firstLine="720"/>
        <w:jc w:val="both"/>
      </w:pPr>
      <w:r>
        <w:t>A direct test is available at low cost. Applying the instrument set to the documentation of a completed hip or knee device investigation and recording which fields had to change would show how much of the structure transfers. If only classification lists change, the claim holds. If review triggers, escalation rules, or field structures have to be rebuilt, the framework is a shoulder framework described too broadly.</w:t>
      </w:r>
    </w:p>
    <w:p>
      <w:pPr>
        <w:pStyle w:val="Heading3"/>
      </w:pPr>
      <w:r>
        <w:t>5.4.4 Transfer to other jurisdictions and editions</w:t>
      </w:r>
    </w:p>
    <w:p>
      <w:pPr>
        <w:ind w:firstLine="720"/>
        <w:jc w:val="both"/>
      </w:pPr>
      <w:r>
        <w:t>The registry places 155 of the 238 organizations in the United States, and 63 of the 68 nonhospital organizations, while the framework was designed under the MDR and ISO 14155:2026. The organizational setting the framework was designed for is therefore located mainly under another regime. The regulatory analysis does not depend on the registry, which serves only to describe the organizations that host these investigations, so the derivation stands. The question is how far the framework would serve the organizations the registry describes.</w:t>
      </w:r>
    </w:p>
    <w:p>
      <w:pPr>
        <w:ind w:firstLine="720"/>
        <w:jc w:val="both"/>
      </w:pPr>
      <w:r>
        <w:t xml:space="preserve">Under 21 CFR Part 812 the investigator reports an unanticipated adverse device effect to the sponsor and to the institutional review board within ten working days of first learning of it </w:t>
      </w:r>
      <w:r>
        <w:rPr>
          <w:vertAlign w:val="subscript"/>
        </w:rPr>
        <w:t>[12]</w:t>
      </w:r>
      <w:r>
        <w:t>. A site in the United States therefore has a regulatory interval for the safety reporting indicator, where a site in the European Union takes it from the CIP. The SART already takes its interval from the CIP, so it adapts, and the change is in the terminology and the regulatory anchors of each instrument. The structure of the framework concerns how the site organizes itself, which neither regime prescribes, so its transfer is plausible once each anchor is mapped to the corresponding provision. That mapping has not been done.</w:t>
      </w:r>
    </w:p>
    <w:p>
      <w:pPr>
        <w:ind w:firstLine="720"/>
        <w:jc w:val="both"/>
      </w:pPr>
      <w:r>
        <w:t xml:space="preserve">Within the European Union, the version of ISO 14155 with a presumption of conformity under the MDR is still EN ISO 14155:2020+A11:2024 </w:t>
      </w:r>
      <w:r>
        <w:rPr>
          <w:vertAlign w:val="subscript"/>
        </w:rPr>
        <w:t>[9]</w:t>
      </w:r>
      <w:r>
        <w:t>, while the 2026 edition represents the current state of the art. Some parts of the framework rest on clauses added in the fourth edition, such as the risk stream for clinical procedures beyond routine practice, calibration in the content of the CIP, and the clinical events committee. A site working to the harmonized version can use these parts as state of the art, without the presumption of conformity that the harmonized text carries.</w:t>
      </w:r>
    </w:p>
    <w:p>
      <w:pPr>
        <w:pStyle w:val="Heading2"/>
      </w:pPr>
      <w:r>
        <w:t>5.5 Implications</w:t>
      </w:r>
    </w:p>
    <w:p>
      <w:pPr>
        <w:pStyle w:val="Heading3"/>
      </w:pPr>
      <w:r>
        <w:t>5.5.1 For the investigational site</w:t>
      </w:r>
    </w:p>
    <w:p>
      <w:pPr>
        <w:ind w:firstLine="720"/>
        <w:jc w:val="both"/>
      </w:pPr>
      <w:r>
        <w:t>A careful site can conduct an investigation well and still have little to show a governance review. The framework gives the site that account, and its value is clearest when the people change. A coordinator may leave, a monitor may be replaced, or a question a previous monitor had settled may come back, and a site with a documented framework carries its history through each of these events.</w:t>
      </w:r>
    </w:p>
    <w:p>
      <w:pPr>
        <w:ind w:firstLine="720"/>
        <w:jc w:val="both"/>
      </w:pPr>
      <w:r>
        <w:t xml:space="preserve">The account has a price in staff time, and the economics of the site determine whether it is paid. Research compensation in this field is calculated per procedure and per participant who completes the study, and sponsors negotiate it against Fair Market Value schedules </w:t>
      </w:r>
      <w:r>
        <w:rPr>
          <w:highlight w:val="yellow"/>
        </w:rPr>
        <w:t>[ref needed]</w:t>
      </w:r>
      <w:r>
        <w:t xml:space="preserve">. No line of the budget funds an internal quality system, and in the United States payment above Fair Market Value creates compliance exposure under anti-inducement rules </w:t>
      </w:r>
      <w:r>
        <w:rPr>
          <w:highlight w:val="yellow"/>
        </w:rPr>
        <w:t>[ref needed]</w:t>
      </w:r>
      <w:r>
        <w:t>. We did not examine the equivalent rules in the European Union. An avoidable error therefore becomes a direct loss: a screen failure caused by an incomplete eligibility record, a missed imaging window, or a query that consumes coordinator time. Fair Market Value limits the price of a service, and it does not exclude a service that has not been defined. A sponsor could pay for a defined service of setting up the site's quality structure at a market rate, as it pays for other start-up activities, provided that the service is real and documented. Whether contracts in this field accept such a line is a question we could not answer.</w:t>
      </w:r>
    </w:p>
    <w:p>
      <w:pPr>
        <w:ind w:firstLine="720"/>
        <w:jc w:val="both"/>
      </w:pPr>
      <w:r>
        <w:t>The costs and the benefits of the framework fall on different parties. The site pays in staff time. The benefits are spread across the sponsor, whose monitoring becomes easier and whose data become more reliable, the manufacturer, whose traceability depends on the records of the operating room, and the participants. The site's own returns are fewer losses from avoidable errors, a record that may count in future site selection, and the instruments it carries to the next investigation. The first and third are under its control, and the second is an expectation we could not test. A site deciding where to begin should start with the instruments that protect data that cannot be recovered, the five records made at the clinical moment and the risk register, because the same records protect its revenue.</w:t>
      </w:r>
    </w:p>
    <w:p>
      <w:pPr>
        <w:ind w:firstLine="720"/>
        <w:jc w:val="both"/>
      </w:pPr>
      <w:r>
        <w:t>A site that records a weakness also creates a record that a monitor can read, and a finding the site raised against itself is still a finding. The framework asks the site to accept that exposure, because the alternative leaves the same weakness in place and unrecorded. How monitors treat findings that a site declared itself is not known, and this will decide whether sites are willing to keep these records.</w:t>
      </w:r>
    </w:p>
    <w:p>
      <w:pPr>
        <w:pStyle w:val="Heading3"/>
      </w:pPr>
      <w:r>
        <w:t>5.5.2 For sponsors, contract research organizations, and monitors</w:t>
      </w:r>
    </w:p>
    <w:p>
      <w:pPr>
        <w:ind w:firstLine="720"/>
        <w:jc w:val="both"/>
      </w:pPr>
      <w:r>
        <w:t>The framework meets the sponsor's quality system at several points. At qualification, Clause 6.8 asks the sponsor to judge the qualifications of the PI and the adequacy of the site, and a site that arrives with its own risk register and oversight records gives documentary evidence on both. Without those records the same judgment rests on interviews and on the state of the files.</w:t>
      </w:r>
    </w:p>
    <w:p>
      <w:pPr>
        <w:ind w:firstLine="720"/>
        <w:jc w:val="both"/>
      </w:pPr>
      <w:r>
        <w:t>The second point is the exchange of critical factors, which has received the least attention. The site register starts from the CIP and from the sponsor's information on critical factors and risks. ICH E6(R3) includes the communication of quality management activities in the sponsor's cycle, and the adoption survey suggests that many sponsors do not formalize their critical factors. A sponsor could give each site, at initiation, a summary of the critical factors and the main risks it identified. The site would then build its register on the same factors, and the site's controls and the sponsor's monitoring would then address the same targets.</w:t>
      </w:r>
    </w:p>
    <w:p>
      <w:pPr>
        <w:ind w:firstLine="720"/>
        <w:jc w:val="both"/>
      </w:pPr>
      <w:r>
        <w:t>The third point is the source of the intraoperative data. Where the CIP allows it, the source map of Step 5 can name the ICDL as the source for implant identifiers and intraoperative events. Source data verification of those fields then compares the CRF with a structured record made during the procedure. Today it usually compares the CRF with an operative note written for clinical purposes.</w:t>
      </w:r>
    </w:p>
    <w:p>
      <w:pPr>
        <w:ind w:firstLine="720"/>
        <w:jc w:val="both"/>
      </w:pPr>
      <w:r>
        <w:t xml:space="preserve">At a monitoring visit, a site that hands over its risk register, delegation records, corrective action log, and indicator results lets the monitor review a site that has already described its own risks. Risk-based monitoring is adequate only when certain prerequisites at the site are met </w:t>
      </w:r>
      <w:r>
        <w:rPr>
          <w:vertAlign w:val="subscript"/>
        </w:rPr>
        <w:t>[43]</w:t>
      </w:r>
      <w:r>
        <w:t>, and the framework builds some of them. A site with a working corrective action process can also answer a monitoring finding by showing that it removed the cause as well as the instance. We found no study measuring how much monitoring time this saves.</w:t>
      </w:r>
    </w:p>
    <w:p>
      <w:pPr>
        <w:ind w:firstLine="720"/>
        <w:jc w:val="both"/>
      </w:pPr>
      <w:r>
        <w:t>The sponsor's central monitoring uses key risk indicators and quality tolerance limits at trial level, and the site's indicators read the same processes at one center. A sponsor could receive the site's indicator results as an input to central monitoring, provided that the source of each datum stays where Section 4.4.4 placed it. The clinical events committee that ISO 14155:2026 allows the sponsor to establish and the site's complication review address the same events at two levels. We found no evidence that either level detects a signal first, and a local action already taken is information the committee can use.</w:t>
      </w:r>
    </w:p>
    <w:p>
      <w:pPr>
        <w:ind w:firstLine="720"/>
        <w:jc w:val="both"/>
      </w:pPr>
      <w:r>
        <w:t xml:space="preserve">The learning curve log can also serve the sponsor's analysis. Learning effects were analyzed in one of 247 randomized surgical trials </w:t>
      </w:r>
      <w:r>
        <w:rPr>
          <w:vertAlign w:val="subscript"/>
        </w:rPr>
        <w:t>[72]</w:t>
      </w:r>
      <w:r>
        <w:t>, partly because the case sequence of each surgeon is rarely collected. The SLCT holds that sequence with complexity and duration. If the CIP planned for it, and if the surgeon's data were protected as Section 5.5.4 requires, the sponsor could use the log to examine learning effects in its main analysis. A quality instrument of the site would then contribute to the evidence the investigation produces.</w:t>
      </w:r>
    </w:p>
    <w:p>
      <w:pPr>
        <w:ind w:firstLine="720"/>
        <w:jc w:val="both"/>
      </w:pPr>
      <w:r>
        <w:t>In most investigations the sponsor delegates part of the operational conduct to a contract research organization, which brings its own systems and timelines designed to work across many sites. These systems govern the data that reach the case report form. They cannot establish that an image was acquired as the charter required, that the identifier on the record matches the implanted unit, or that an intraoperative change was documented while it could still be reconstructed. Monitors also change, and each change resets the relationship with a party who arrives without the history of earlier decisions. The framework governs the production of the data at the origin, before they enter systems the site does not control, and it keeps the site's own history across those changes.</w:t>
      </w:r>
    </w:p>
    <w:p>
      <w:pPr>
        <w:ind w:firstLine="720"/>
        <w:jc w:val="both"/>
      </w:pPr>
      <w:r>
        <w:t>The sponsor could do more than receive these records. It already supplies the protocol, the Investigator's Brochure, training, and often the electronic data capture system, and it runs a clinical quality management system under Clause 9.1. It could also supply templates and help set up the framework across its sites, absorbing part of the cost of construction. That arrangement has a risk that appears only from the site's side. A site that works with three sponsors would receive three frameworks, each shaped by a different sponsor, and would run three quality systems at once. The stable division is therefore a structure owned by the site, as Chapter 4 describes, filled with content from each investigation and, where the sponsor wishes, with its templates. The operation of the framework and the ownership of its records stay with the party present when the data are generated.</w:t>
      </w:r>
    </w:p>
    <w:p>
      <w:pPr>
        <w:pStyle w:val="Heading3"/>
      </w:pPr>
      <w:r>
        <w:t>5.5.3 For standards and regulators</w:t>
      </w:r>
    </w:p>
    <w:p>
      <w:pPr>
        <w:ind w:firstLine="720"/>
        <w:jc w:val="both"/>
      </w:pPr>
      <w:r>
        <w:t>Reading ISO 14155:2026 from the position of the site shows points that a future revision could consider. Clause 6.2 requires the sponsor to manage risk in three streams: the use of the device, the clinical procedures required by the CIP beyond routine practice, and the conduct of the investigation. All three belong to the sponsor, and no text describes how a site handles the part of those risks that its own execution creates. Clause 9.2.4.5 p) asks monitors to verify that equipment relevant to assessment is maintained and calibrated, and Annex A.6.4 adds calibration to the content of the CIP. No clause describes the record through which the site shows this work. Clause 6.12 introduces the clinical events committee and creates no local counterpart. These observations come from one position, and the standard has a wider purpose, so a revision might reasonably leave them open.</w:t>
      </w:r>
    </w:p>
    <w:p>
      <w:pPr>
        <w:ind w:firstLine="720"/>
        <w:jc w:val="both"/>
      </w:pPr>
      <w:r>
        <w:t>The observations also differ in size. A clause asking a site to keep a risk register would ask for one document and one review cycle, while a requirement for a site-level quality system would ask for much more. Annex XV of the MDR governs the conduct of clinical investigations and says nothing about how a site organizes itself to conduct them. The harmonization of the fourth edition would be a natural moment to examine that question.</w:t>
      </w:r>
    </w:p>
    <w:p>
      <w:pPr>
        <w:ind w:firstLine="720"/>
        <w:jc w:val="both"/>
      </w:pPr>
      <w:r>
        <w:t>The laboratory offers a precedent. ISO 15189:2022 gives the medical laboratory a quality system that can be accredited, and its results are trusted by parties who never see the laboratory. A standard for the investigational site would answer a problem that sponsor-supplied frameworks cannot, the fragmentation of a site that works for several sponsors, because one structure recognized by all sponsors would replace several structures imposed by each. Whether investigational sites should one day be accredited in this way is beyond what this thesis can answer, and we raise it as a question for the field.</w:t>
      </w:r>
    </w:p>
    <w:p>
      <w:pPr>
        <w:ind w:firstLine="720"/>
        <w:jc w:val="both"/>
      </w:pPr>
      <w:r>
        <w:t>Within the present texts, no clause requires a site to keep the records this framework produces, so a competent authority that inspects a site under the MDR would not find their absence to be a non-compliance. A site that operates the framework and a site that operates nothing therefore present the same regulatory surface. Their records differ in what they let the site show. A site with the framework can show how it controlled its conduct, which is what a governance-oriented inspection looks for, while a site without it can only reconstruct that control from primary documents.</w:t>
      </w:r>
    </w:p>
    <w:p>
      <w:pPr>
        <w:pStyle w:val="Heading3"/>
      </w:pPr>
      <w:r>
        <w:t>5.5.4 Ethical implications</w:t>
      </w:r>
    </w:p>
    <w:p>
      <w:pPr>
        <w:ind w:firstLine="720"/>
        <w:jc w:val="both"/>
      </w:pPr>
      <w:r>
        <w:t>Participants in a device investigation accept risk in the service of knowledge, and the quality of conduct at the site decides how well that acceptance is honored. A delayed safety report postpones the identification of a device-related signal at every center, including centers the reporting site never saw. An incomplete traceability record can prevent a complication from being linked to the lot that produced it. An eligibility error exposes a participant to a procedure that cannot be undone. The participant carries these risks and sees none of the quality system. The sponsor judges the site at qualification and the ethics committee at approval, and the framework supports the third judgment, the one the site makes in every case.</w:t>
      </w:r>
    </w:p>
    <w:p>
      <w:pPr>
        <w:ind w:firstLine="720"/>
        <w:jc w:val="both"/>
      </w:pPr>
      <w:r>
        <w:t xml:space="preserve">The framework also observes the people who do the work. The SLCT and the consistency indicator hold performance by surgeon and can lead to a restriction of the cases a surgeon takes. They are therefore in substance an assessment of professional performance and have to be governed as such. The design codes the surgeon, keeps the key with the PI, fixes before the first case the outcomes that a review can reach, and requires the reasoning behind any restriction to be documented. The indicator does not rank surgeons, since a fair comparison would need adjustment for case mix and for clustering </w:t>
      </w:r>
      <w:r>
        <w:rPr>
          <w:vertAlign w:val="subscript"/>
        </w:rPr>
        <w:t>[67, 68]</w:t>
      </w:r>
      <w:r>
        <w:t xml:space="preserve"> that a single site rarely allows. These records are also personal data of the professional, and the site has to define who can access them and for what purpose. We did not analyze the data protection rules in detail.</w:t>
      </w:r>
    </w:p>
    <w:p>
      <w:pPr>
        <w:ind w:firstLine="720"/>
        <w:jc w:val="both"/>
      </w:pPr>
      <w:r>
        <w:t>The weakest point arises when the site belongs to the surgeon it observes. In a surgeon-owned practice, the PI who decides on a restriction may be the surgeon under review, or a close colleague who shares the commercial consequence. The same structure affects internal verification, where the reviewer may be the employee of the person reviewed (Section 5.3.3). The role structure already gives every function a named substitute. The framework can therefore require that, when the PI is the surgeon under review, the decision passes to that substitute or to a party outside the site, such as the sponsor's medical monitor or the ethics committee. This route is fixed in Step 2, before the first case.</w:t>
      </w:r>
    </w:p>
    <w:p>
      <w:pPr>
        <w:pStyle w:val="Heading2"/>
      </w:pPr>
      <w:r>
        <w:t>5.6 Evaluation, limitations, and further research</w:t>
      </w:r>
    </w:p>
    <w:p>
      <w:pPr>
        <w:pStyle w:val="Heading3"/>
      </w:pPr>
      <w:r>
        <w:t>5.6.1 The evaluation this thesis performed</w:t>
      </w:r>
    </w:p>
    <w:p>
      <w:pPr>
        <w:ind w:firstLine="720"/>
        <w:jc w:val="both"/>
      </w:pPr>
      <w:r>
        <w:t xml:space="preserve">The Design Science Research Methodology has six activities, and this thesis reports four of them: problem identification, the objectives of a solution, design and development, and communication </w:t>
      </w:r>
      <w:r>
        <w:rPr>
          <w:vertAlign w:val="subscript"/>
        </w:rPr>
        <w:t>[49]</w:t>
      </w:r>
      <w:r>
        <w:t xml:space="preserve">. Demonstration and evaluation are not reported. The thesis did perform one kind of evaluation. The design-science literature distinguishes evaluation before an artifact is used, which validates design decisions against existing knowledge, from evaluation after it is used </w:t>
      </w:r>
      <w:r>
        <w:rPr>
          <w:highlight w:val="yellow"/>
        </w:rPr>
        <w:t>[ref: Sonnenberg and vom Brocke 2012]</w:t>
      </w:r>
      <w:r>
        <w:t xml:space="preserve">. It also classifies evaluations as formative or summative and as artificial or naturalistic </w:t>
      </w:r>
      <w:r>
        <w:rPr>
          <w:highlight w:val="yellow"/>
        </w:rPr>
        <w:t>[ref: Venable et al. 2016]</w:t>
      </w:r>
      <w:r>
        <w:t>. The traceability from each component to a requirement, and from each requirement to a clause, a domain, or an operating condition, is an evaluation of the first kind, formative and artificial. It shows that the framework is coherent with the knowledge it was built from. We derived the requirements and assigned the components ourselves, so the mapping is not independent evidence, and it cannot show that the components are necessary, that the set is complete, or that another set would perform worse.</w:t>
      </w:r>
    </w:p>
    <w:p>
      <w:pPr>
        <w:pStyle w:val="Heading3"/>
      </w:pPr>
      <w:r>
        <w:t>5.6.2 Limitations</w:t>
      </w:r>
    </w:p>
    <w:p>
      <w:pPr>
        <w:ind w:firstLine="720"/>
        <w:jc w:val="both"/>
      </w:pPr>
      <w:r>
        <w:t>The absence of any implementation weakens every claim about effect in this chapter. The propositions of Table 5.2, the economic argument, and the reading of the effort required remain expectations, and the time the instruments take in a small team is unknown. A feasibility study in one site would reduce this limitation. The design reduces its consequence by keeping the regulatory analysis and the derivation independent of any expected effect.</w:t>
      </w:r>
    </w:p>
    <w:p>
      <w:pPr>
        <w:ind w:firstLine="720"/>
        <w:jc w:val="both"/>
      </w:pPr>
      <w:r>
        <w:t>The literature review was narrative. This weakens any statement that a body of work is absent from the field, so the position described in Section 5.2 concerns the works we found and read. A systematic search would test that position. We reduced the risk by searching the bodies of work most likely to contain a site-level framework and by reporting the closest works we found.</w:t>
      </w:r>
    </w:p>
    <w:p>
      <w:pPr>
        <w:ind w:firstLine="720"/>
        <w:jc w:val="both"/>
      </w:pPr>
      <w:r>
        <w:t>The evidence on the state of site practice comes from published studies, regulatory guidance, and expert commentary. We did not examine site procedures, investigation files, or audit data, to which this work had no access. This weakens the claim that the failures the framework addresses are the ones that occur most often. Field research in sites of each organizational category would test it and would calibrate the framework against observed failures.</w:t>
      </w:r>
    </w:p>
    <w:p>
      <w:pPr>
        <w:ind w:firstLine="720"/>
        <w:jc w:val="both"/>
      </w:pPr>
      <w:r>
        <w:t>The registry analysis classified organizations from their public self-description, and one researcher made each classification with a second internal pass and no independent assessor. This weakens the assignment of organizations to environments and the reproducibility of the counts in Table 3.3. A second coder would test it.</w:t>
      </w:r>
    </w:p>
    <w:p>
      <w:pPr>
        <w:ind w:firstLine="720"/>
        <w:jc w:val="both"/>
      </w:pPr>
      <w:r>
        <w:t>The registry is weighted toward the United States, while the framework was designed under the MDR. The regulatory analysis does not depend on the registry, and the inference that weakens is the one from the organizational profile of the sample to European sites. A registry analysis based on European data, which Eudamed did not provide, would test it.</w:t>
      </w:r>
    </w:p>
    <w:p>
      <w:pPr>
        <w:ind w:firstLine="720"/>
        <w:jc w:val="both"/>
      </w:pPr>
      <w:r>
        <w:t>Nobody outside the research team reviewed the design. No site, monitor, or surgeon assessed the instruments, which weakens the claim that they can be completed as intended. A content review by experts and a usability test of the templates are the first steps of the sequence below.</w:t>
      </w:r>
    </w:p>
    <w:p>
      <w:pPr>
        <w:ind w:firstLine="720"/>
        <w:jc w:val="both"/>
      </w:pPr>
      <w:r>
        <w:t>Some choices of this thesis are delimitations, set on purpose: the focus on the shoulder, the European regulatory framework, and the nonhospital organization as the design case. They set the scope of the claims, and Section 5.4 discusses how far the claims can travel beyond them.</w:t>
      </w:r>
    </w:p>
    <w:p>
      <w:pPr>
        <w:pStyle w:val="Heading3"/>
      </w:pPr>
      <w:r>
        <w:t>5.6.3 Further research</w:t>
      </w:r>
    </w:p>
    <w:p>
      <w:pPr>
        <w:ind w:firstLine="720"/>
        <w:jc w:val="both"/>
      </w:pPr>
      <w:r>
        <w:t xml:space="preserve">The framework has completed the development phase of a complex intervention, and the next phases are feasibility, evaluation, and implementation, which do not have to follow one another in strict order </w:t>
      </w:r>
      <w:r>
        <w:rPr>
          <w:highlight w:val="yellow"/>
        </w:rPr>
        <w:t>[ref: Skivington et al. 2021]</w:t>
      </w:r>
      <w:r>
        <w:t>. The shortest next step is the demonstration activity of the DSRM, which needs no participants. Running the full set through a simulated or retrospective case series, from feasibility to the lessons record, would show whether the instruments connect as the design intends and where a record has no reader.</w:t>
      </w:r>
    </w:p>
    <w:p>
      <w:pPr>
        <w:ind w:firstLine="720"/>
        <w:jc w:val="both"/>
      </w:pPr>
      <w:r>
        <w:t>A content review by sites, monitors, and surgeons, with a usability test of the templates, comes next, because an instrument that nobody can complete correctly cannot be evaluated for anything else. A feasibility study in one nonhospital organization and one hospital would then run the minimum set through a complete investigation. It would measure staff time per instrument and separate the work done once from the work that grows with cases. It would also measure the completeness of the records against a defined checklist and the share of deviations that the site detected before the monitor did.</w:t>
      </w:r>
    </w:p>
    <w:p>
      <w:pPr>
        <w:ind w:firstLine="720"/>
        <w:jc w:val="both"/>
      </w:pPr>
      <w:r>
        <w:t>The evaluation of effect needs a concurrent comparison. Before-and-after comparisons at one site would very probably report an improvement whatever the framework does. A sponsor could introduce the framework in its sites in a staggered order within one investigation, so that sites that have not yet started serve as comparators. Alternatively, a site could follow its indicators over a long series before and after adoption, as the IDEAL recommendations suggest where randomized designs are not feasible. The same sponsor-led design would test whether a sponsor can supply templates while the site keeps the operation and the ownership of its records, and whether the instruments carry into an electronic system without structural change.</w:t>
      </w:r>
    </w:p>
    <w:p>
      <w:pPr>
        <w:ind w:firstLine="720"/>
        <w:jc w:val="both"/>
      </w:pPr>
      <w:r>
        <w:t>The volume of a single site does not allow the indicators to be validated, because an investigation spread across several centers leaves each center with few cases over several years. Indicator validation can instead use existing records. A retrospective study could pair historical values of the indicators with the events that followed them, and pooling the records of several centers of one sponsor would provide the volume that one site cannot. Query backlog and reporting timeliness can be recovered from most trial databases, while operative time by complexity level can be recovered only where the site recorded the level.</w:t>
      </w:r>
    </w:p>
    <w:p>
      <w:pPr>
        <w:ind w:firstLine="720"/>
        <w:jc w:val="both"/>
      </w:pPr>
      <w:r>
        <w:t>Two further studies need no new investigation. Applying the instrument set to the documentation of a completed hip or knee device investigation would test the transfer between specialties. Mapping each instrument to 21 CFR Part 812 would test the transfer to the regime under which most of the nonhospital organizations in the registry operate. A second coder applied to the registry classification would address the reproducibility limitation recorded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