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Discussion</w:t>
      </w:r>
    </w:p>
    <w:p>
      <w:pPr>
        <w:pStyle w:val="Heading2"/>
      </w:pPr>
      <w:r>
        <w:t>5.1 What the thesis set out to do and what it delivered</w:t>
      </w:r>
    </w:p>
    <w:p>
      <w:pPr>
        <w:ind w:firstLine="720"/>
        <w:jc w:val="both"/>
      </w:pPr>
      <w:r>
        <w:t xml:space="preserve">Section 1.5 set out to give the investigational site a structure for its part of the responsibility for quality during conduct. ICH E6(R3) asks the investigator to put processes in place without saying what the site should produce to show it </w:t>
      </w:r>
      <w:r>
        <w:rPr>
          <w:vertAlign w:val="subscript"/>
        </w:rPr>
        <w:t>[6]</w:t>
      </w:r>
      <w:r>
        <w:t xml:space="preserve">. The thesis delivered that structure as a design, a quality framework for the site derived from ICH E6(R3), ISO 14155:2026, and MDR Annex XV </w:t>
      </w:r>
      <w:r>
        <w:rPr>
          <w:vertAlign w:val="subscript"/>
        </w:rPr>
        <w:t>[8, 10]</w:t>
      </w:r>
      <w:r>
        <w:t>, with each component traced to the analysis that produced it. Whether the framework improves conduct in a real site is a question the thesis prepared and did not answer.</w:t>
      </w:r>
    </w:p>
    <w:p>
      <w:pPr>
        <w:ind w:firstLine="720"/>
        <w:jc w:val="both"/>
      </w:pPr>
      <w:r>
        <w:t>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pPr>
        <w:ind w:firstLine="720"/>
        <w:jc w:val="both"/>
      </w:pPr>
      <w: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pPr>
        <w:ind w:firstLine="720"/>
        <w:jc w:val="both"/>
      </w:pPr>
      <w:r>
        <w:t xml:space="preserve">Gregor and Hevner classify a design contribution by how mature its problem and its solution are, and they call the transfer of a known solution to a new problem an exaptation </w:t>
      </w:r>
      <w:r>
        <w:rPr>
          <w:highlight w:val="yellow"/>
        </w:rPr>
        <w:t>[ref: Gregor and Hevner 2013]</w:t>
      </w:r>
      <w:r>
        <w:t xml:space="preserve">. Most of the framework is a contribution of this kind. A documented quality system is an established solution, run by the manufacturer under ISO 13485:2016 and ISO 14971:2019 and by the medical laboratory under ISO 15189:2022 </w:t>
      </w:r>
      <w:r>
        <w:rPr>
          <w:vertAlign w:val="subscript"/>
        </w:rPr>
        <w:t>[52, 53, 54]</w:t>
      </w:r>
      <w: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ind w:firstLine="720"/>
        <w:jc w:val="both"/>
      </w:pPr>
      <w: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pPr>
        <w:pStyle w:val="Heading2"/>
      </w:pPr>
      <w:r>
        <w:t>5.2 Position in the literature</w:t>
      </w:r>
    </w:p>
    <w:p>
      <w:pPr>
        <w:ind w:firstLine="720"/>
        <w:jc w:val="both"/>
      </w:pPr>
      <w:r>
        <w:t>The works we reviewed address four themes that bear on the framework (Table 5.1), and the text below discusses those that shaped the design.</w:t>
      </w:r>
    </w:p>
    <w:p>
      <w:pPr>
        <w:spacing w:before="120" w:after="80"/>
      </w:pPr>
      <w:r>
        <w:rPr>
          <w:i/>
          <w:sz w:val="20"/>
        </w:rPr>
        <w:t>Table 5.1. Works on quality in clinical investigations grouped by theme, with what each establishes, who holds the instrument and when it is used, and the response of the framework to each theme.</w:t>
      </w:r>
    </w:p>
    <w:tbl>
      <w:tblPr>
        <w:tblStyle w:val="TableGrid"/>
        <w:tblW w:type="auto" w:w="0"/>
        <w:tblLayout w:type="fixed"/>
        <w:tblLook w:firstColumn="1" w:firstRow="1" w:lastColumn="0" w:lastRow="0" w:noHBand="0" w:noVBand="1" w:val="04A0"/>
      </w:tblPr>
      <w:tblGrid>
        <w:gridCol w:w="1296"/>
        <w:gridCol w:w="1872"/>
        <w:gridCol w:w="2088"/>
        <w:gridCol w:w="1296"/>
        <w:gridCol w:w="1152"/>
        <w:gridCol w:w="1656"/>
      </w:tblGrid>
      <w:tr>
        <w:tc>
          <w:tcPr>
            <w:tcW w:type="dxa" w:w="1296"/>
            <w:shd w:val="clear" w:color="auto" w:fill="D9D9D9"/>
            <w:vAlign w:val="center"/>
          </w:tcPr>
          <w:p>
            <w:pPr>
              <w:spacing w:line="240" w:lineRule="auto"/>
              <w:ind w:firstLine="0"/>
              <w:jc w:val="center"/>
            </w:pPr>
            <w:r>
              <w:rPr>
                <w:b/>
                <w:sz w:val="18"/>
              </w:rPr>
              <w:t>Theme</w:t>
            </w:r>
          </w:p>
        </w:tc>
        <w:tc>
          <w:tcPr>
            <w:tcW w:type="dxa" w:w="1872"/>
            <w:shd w:val="clear" w:color="auto" w:fill="D9D9D9"/>
            <w:vAlign w:val="center"/>
          </w:tcPr>
          <w:p>
            <w:pPr>
              <w:spacing w:line="240" w:lineRule="auto"/>
              <w:ind w:firstLine="0"/>
              <w:jc w:val="center"/>
            </w:pPr>
            <w:r>
              <w:rPr>
                <w:b/>
                <w:sz w:val="18"/>
              </w:rPr>
              <w:t>Work</w:t>
            </w:r>
          </w:p>
        </w:tc>
        <w:tc>
          <w:tcPr>
            <w:tcW w:type="dxa" w:w="2088"/>
            <w:shd w:val="clear" w:color="auto" w:fill="D9D9D9"/>
            <w:vAlign w:val="center"/>
          </w:tcPr>
          <w:p>
            <w:pPr>
              <w:spacing w:line="240" w:lineRule="auto"/>
              <w:ind w:firstLine="0"/>
              <w:jc w:val="center"/>
            </w:pPr>
            <w:r>
              <w:rPr>
                <w:b/>
                <w:sz w:val="18"/>
              </w:rPr>
              <w:t>What it establishes</w:t>
            </w:r>
          </w:p>
        </w:tc>
        <w:tc>
          <w:tcPr>
            <w:tcW w:type="dxa" w:w="1296"/>
            <w:shd w:val="clear" w:color="auto" w:fill="D9D9D9"/>
            <w:vAlign w:val="center"/>
          </w:tcPr>
          <w:p>
            <w:pPr>
              <w:spacing w:line="240" w:lineRule="auto"/>
              <w:ind w:firstLine="0"/>
              <w:jc w:val="center"/>
            </w:pPr>
            <w:r>
              <w:rPr>
                <w:b/>
                <w:sz w:val="18"/>
              </w:rPr>
              <w:t>Held by</w:t>
            </w:r>
          </w:p>
        </w:tc>
        <w:tc>
          <w:tcPr>
            <w:tcW w:type="dxa" w:w="1152"/>
            <w:shd w:val="clear" w:color="auto" w:fill="D9D9D9"/>
            <w:vAlign w:val="center"/>
          </w:tcPr>
          <w:p>
            <w:pPr>
              <w:spacing w:line="240" w:lineRule="auto"/>
              <w:ind w:firstLine="0"/>
              <w:jc w:val="center"/>
            </w:pPr>
            <w:r>
              <w:rPr>
                <w:b/>
                <w:sz w:val="18"/>
              </w:rPr>
              <w:t>Used</w:t>
            </w:r>
          </w:p>
        </w:tc>
        <w:tc>
          <w:tcPr>
            <w:tcW w:type="dxa" w:w="1656"/>
            <w:shd w:val="clear" w:color="auto" w:fill="D9D9D9"/>
            <w:vAlign w:val="center"/>
          </w:tcPr>
          <w:p>
            <w:pPr>
              <w:spacing w:line="240" w:lineRule="auto"/>
              <w:ind w:firstLine="0"/>
              <w:jc w:val="center"/>
            </w:pPr>
            <w:r>
              <w:rPr>
                <w:b/>
                <w:sz w:val="18"/>
              </w:rPr>
              <w:t>Response in the framework</w:t>
            </w:r>
          </w:p>
        </w:tc>
      </w:tr>
      <w:tr>
        <w:tc>
          <w:tcPr>
            <w:tcW w:type="dxa" w:w="1296"/>
            <w:vMerge w:val="restart"/>
            <w:vAlign w:val="center"/>
            <w:shd w:val="clear" w:color="auto" w:fill="F2F2F2"/>
          </w:tcPr>
          <w:p>
            <w:pPr>
              <w:spacing w:line="240" w:lineRule="auto"/>
              <w:jc w:val="center"/>
            </w:pPr>
            <w:r>
              <w:rPr>
                <w:b/>
                <w:sz w:val="18"/>
              </w:rPr>
              <w:t>Risk-based quality management is built for the sponsor</w:t>
            </w:r>
          </w:p>
        </w:tc>
        <w:tc>
          <w:tcPr>
            <w:tcW w:type="dxa" w:w="1872"/>
            <w:vAlign w:val="center"/>
          </w:tcPr>
          <w:p>
            <w:pPr>
              <w:spacing w:line="240" w:lineRule="auto"/>
              <w:jc w:val="left"/>
            </w:pPr>
            <w:r>
              <w:rPr>
                <w:sz w:val="18"/>
              </w:rPr>
              <w:t xml:space="preserve">EMA reflection paper </w:t>
            </w:r>
            <w:r>
              <w:rPr>
                <w:sz w:val="18"/>
                <w:vertAlign w:val="subscript"/>
              </w:rPr>
              <w:t>[1]</w:t>
            </w:r>
          </w:p>
        </w:tc>
        <w:tc>
          <w:tcPr>
            <w:tcW w:type="dxa" w:w="2088"/>
            <w:vAlign w:val="center"/>
          </w:tcPr>
          <w:p>
            <w:pPr>
              <w:spacing w:line="240" w:lineRule="auto"/>
              <w:jc w:val="left"/>
            </w:pPr>
            <w:r>
              <w:rPr>
                <w:sz w:val="18"/>
              </w:rPr>
              <w:t>The cycle from risk identification to review for a trial</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Design to close-out</w:t>
            </w:r>
          </w:p>
        </w:tc>
        <w:tc>
          <w:tcPr>
            <w:tcW w:type="dxa" w:w="1656"/>
            <w:vMerge w:val="restart"/>
            <w:vAlign w:val="center"/>
          </w:tcPr>
          <w:p>
            <w:pPr>
              <w:spacing w:line="240" w:lineRule="auto"/>
              <w:jc w:val="left"/>
            </w:pPr>
            <w:r>
              <w:rPr>
                <w:sz w:val="18"/>
              </w:rPr>
              <w:t>A site risk register built on the CtQ domains of the site, opened before the first participant, with site indicators that can feed the sponsor's central monitoring</w:t>
            </w: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TransCelerate clinical quality management system </w:t>
            </w:r>
            <w:r>
              <w:rPr>
                <w:sz w:val="18"/>
                <w:vertAlign w:val="subscript"/>
              </w:rPr>
              <w:t>[32]</w:t>
            </w:r>
          </w:p>
        </w:tc>
        <w:tc>
          <w:tcPr>
            <w:tcW w:type="dxa" w:w="2088"/>
            <w:vAlign w:val="center"/>
          </w:tcPr>
          <w:p>
            <w:pPr>
              <w:spacing w:line="240" w:lineRule="auto"/>
              <w:jc w:val="left"/>
            </w:pPr>
            <w:r>
              <w:rPr>
                <w:sz w:val="18"/>
              </w:rPr>
              <w:t>A conceptual framework for a clinical quality management system</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Design to close-out</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CTTI quality by design and CtQ principles </w:t>
            </w:r>
            <w:r>
              <w:rPr>
                <w:sz w:val="18"/>
                <w:vertAlign w:val="subscript"/>
              </w:rPr>
              <w:t>[33, 55]</w:t>
            </w:r>
          </w:p>
        </w:tc>
        <w:tc>
          <w:tcPr>
            <w:tcW w:type="dxa" w:w="2088"/>
            <w:vAlign w:val="center"/>
          </w:tcPr>
          <w:p>
            <w:pPr>
              <w:spacing w:line="240" w:lineRule="auto"/>
              <w:jc w:val="left"/>
            </w:pPr>
            <w:r>
              <w:rPr>
                <w:sz w:val="18"/>
              </w:rPr>
              <w:t>A method to identify CtQ factors at design</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Design</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MDIC medical device supplement </w:t>
            </w:r>
            <w:r>
              <w:rPr>
                <w:sz w:val="18"/>
                <w:vertAlign w:val="subscript"/>
              </w:rPr>
              <w:t>[34]</w:t>
            </w:r>
          </w:p>
        </w:tc>
        <w:tc>
          <w:tcPr>
            <w:tcW w:type="dxa" w:w="2088"/>
            <w:vAlign w:val="center"/>
          </w:tcPr>
          <w:p>
            <w:pPr>
              <w:spacing w:line="240" w:lineRule="auto"/>
              <w:jc w:val="left"/>
            </w:pPr>
            <w:r>
              <w:rPr>
                <w:sz w:val="18"/>
              </w:rPr>
              <w:t>CtQ considerations for devices, including learning curves in device use</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Design</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FDA guidance on risk-based monitoring </w:t>
            </w:r>
            <w:r>
              <w:rPr>
                <w:sz w:val="18"/>
                <w:vertAlign w:val="subscript"/>
              </w:rPr>
              <w:t>[79]</w:t>
            </w:r>
            <w:r>
              <w:rPr>
                <w:sz w:val="18"/>
              </w:rPr>
              <w:t xml:space="preserve">; risk-based monitoring update </w:t>
            </w:r>
            <w:r>
              <w:rPr>
                <w:sz w:val="18"/>
                <w:vertAlign w:val="subscript"/>
              </w:rPr>
              <w:t>[91]</w:t>
            </w:r>
          </w:p>
        </w:tc>
        <w:tc>
          <w:tcPr>
            <w:tcW w:type="dxa" w:w="2088"/>
            <w:vAlign w:val="center"/>
          </w:tcPr>
          <w:p>
            <w:pPr>
              <w:spacing w:line="240" w:lineRule="auto"/>
              <w:jc w:val="left"/>
            </w:pPr>
            <w:r>
              <w:rPr>
                <w:sz w:val="18"/>
              </w:rPr>
              <w:t>Risk-based monitoring practice and its adoption</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Conduct</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RBQM adoption survey </w:t>
            </w:r>
            <w:r>
              <w:rPr>
                <w:sz w:val="18"/>
                <w:vertAlign w:val="subscript"/>
              </w:rPr>
              <w:t>[13]</w:t>
            </w:r>
          </w:p>
        </w:tc>
        <w:tc>
          <w:tcPr>
            <w:tcW w:type="dxa" w:w="2088"/>
            <w:vAlign w:val="center"/>
          </w:tcPr>
          <w:p>
            <w:pPr>
              <w:spacing w:line="240" w:lineRule="auto"/>
              <w:jc w:val="left"/>
            </w:pPr>
            <w:r>
              <w:rPr>
                <w:sz w:val="18"/>
              </w:rPr>
              <w:t>Identification of CtQ factors among the least used of 32 practices in 119 companies</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Perceptions of risk-based monitoring </w:t>
            </w:r>
            <w:r>
              <w:rPr>
                <w:sz w:val="18"/>
                <w:vertAlign w:val="subscript"/>
              </w:rPr>
              <w:t>[46, 47]</w:t>
            </w:r>
          </w:p>
        </w:tc>
        <w:tc>
          <w:tcPr>
            <w:tcW w:type="dxa" w:w="2088"/>
            <w:vAlign w:val="center"/>
          </w:tcPr>
          <w:p>
            <w:pPr>
              <w:spacing w:line="240" w:lineRule="auto"/>
              <w:jc w:val="left"/>
            </w:pPr>
            <w:r>
              <w:rPr>
                <w:sz w:val="18"/>
              </w:rPr>
              <w:t>Site staff meet risk-based monitoring through the sponsor</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Risk management at Portuguese sites </w:t>
            </w:r>
            <w:r>
              <w:rPr>
                <w:sz w:val="18"/>
                <w:vertAlign w:val="subscript"/>
              </w:rPr>
              <w:t>[77]</w:t>
            </w:r>
          </w:p>
        </w:tc>
        <w:tc>
          <w:tcPr>
            <w:tcW w:type="dxa" w:w="2088"/>
            <w:vAlign w:val="center"/>
          </w:tcPr>
          <w:p>
            <w:pPr>
              <w:spacing w:line="240" w:lineRule="auto"/>
              <w:jc w:val="left"/>
            </w:pPr>
            <w:r>
              <w:rPr>
                <w:sz w:val="18"/>
              </w:rPr>
              <w:t>19.6% of sites with a site-level risk tool</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r>
        <w:tc>
          <w:tcPr>
            <w:tcW w:type="dxa" w:w="1296"/>
            <w:vMerge w:val="restart"/>
            <w:vAlign w:val="center"/>
            <w:shd w:val="clear" w:color="auto" w:fill="F2F2F2"/>
          </w:tcPr>
          <w:p>
            <w:pPr>
              <w:spacing w:line="240" w:lineRule="auto"/>
              <w:jc w:val="center"/>
            </w:pPr>
            <w:r>
              <w:rPr>
                <w:b/>
                <w:sz w:val="18"/>
              </w:rPr>
              <w:t>Operator learning is controlled at entry</w:t>
            </w:r>
          </w:p>
        </w:tc>
        <w:tc>
          <w:tcPr>
            <w:tcW w:type="dxa" w:w="1872"/>
            <w:vAlign w:val="center"/>
          </w:tcPr>
          <w:p>
            <w:pPr>
              <w:spacing w:line="240" w:lineRule="auto"/>
              <w:jc w:val="left"/>
            </w:pPr>
            <w:r>
              <w:rPr>
                <w:sz w:val="18"/>
              </w:rPr>
              <w:t xml:space="preserve">IDEAL recommendations </w:t>
            </w:r>
            <w:r>
              <w:rPr>
                <w:sz w:val="18"/>
                <w:vertAlign w:val="subscript"/>
              </w:rPr>
              <w:t>[18]</w:t>
            </w:r>
          </w:p>
        </w:tc>
        <w:tc>
          <w:tcPr>
            <w:tcW w:type="dxa" w:w="2088"/>
            <w:vAlign w:val="center"/>
          </w:tcPr>
          <w:p>
            <w:pPr>
              <w:spacing w:line="240" w:lineRule="auto"/>
              <w:jc w:val="left"/>
            </w:pPr>
            <w:r>
              <w:rPr>
                <w:sz w:val="18"/>
              </w:rPr>
              <w:t>Staged evaluation of surgical innovation, with learning curves followed by statistical process control</w:t>
            </w:r>
          </w:p>
        </w:tc>
        <w:tc>
          <w:tcPr>
            <w:tcW w:type="dxa" w:w="1296"/>
            <w:vAlign w:val="center"/>
          </w:tcPr>
          <w:p>
            <w:pPr>
              <w:spacing w:line="240" w:lineRule="auto"/>
              <w:jc w:val="left"/>
            </w:pPr>
            <w:r>
              <w:rPr>
                <w:sz w:val="18"/>
              </w:rPr>
              <w:t>Researchers</w:t>
            </w:r>
          </w:p>
        </w:tc>
        <w:tc>
          <w:tcPr>
            <w:tcW w:type="dxa" w:w="1152"/>
            <w:vAlign w:val="center"/>
          </w:tcPr>
          <w:p>
            <w:pPr>
              <w:spacing w:line="240" w:lineRule="auto"/>
              <w:jc w:val="left"/>
            </w:pPr>
            <w:r>
              <w:rPr>
                <w:sz w:val="18"/>
              </w:rPr>
              <w:t>Design</w:t>
            </w:r>
          </w:p>
        </w:tc>
        <w:tc>
          <w:tcPr>
            <w:tcW w:type="dxa" w:w="1656"/>
            <w:vMerge w:val="restart"/>
            <w:vAlign w:val="center"/>
          </w:tcPr>
          <w:p>
            <w:pPr>
              <w:spacing w:line="240" w:lineRule="auto"/>
              <w:jc w:val="left"/>
            </w:pPr>
            <w:r>
              <w:rPr>
                <w:sz w:val="18"/>
              </w:rPr>
              <w:t>A learning curve log and a consistency indicator kept by the site during conduct, with review points fixed by case number and a route to the credentialing decision</w:t>
            </w: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Implantable device evidence framework </w:t>
            </w:r>
            <w:r>
              <w:rPr>
                <w:sz w:val="18"/>
                <w:vertAlign w:val="subscript"/>
              </w:rPr>
              <w:t>[19]</w:t>
            </w:r>
            <w:r>
              <w:rPr>
                <w:sz w:val="18"/>
              </w:rPr>
              <w:t xml:space="preserve">; CORE-MD recommendations </w:t>
            </w:r>
            <w:r>
              <w:rPr>
                <w:sz w:val="18"/>
                <w:vertAlign w:val="subscript"/>
              </w:rPr>
              <w:t>[17]</w:t>
            </w:r>
          </w:p>
        </w:tc>
        <w:tc>
          <w:tcPr>
            <w:tcW w:type="dxa" w:w="2088"/>
            <w:vAlign w:val="center"/>
          </w:tcPr>
          <w:p>
            <w:pPr>
              <w:spacing w:line="240" w:lineRule="auto"/>
              <w:jc w:val="left"/>
            </w:pPr>
            <w:r>
              <w:rPr>
                <w:sz w:val="18"/>
              </w:rPr>
              <w:t>Learning curves and the interaction of operator, hospital, and patient as sources of variance in device studies</w:t>
            </w:r>
          </w:p>
        </w:tc>
        <w:tc>
          <w:tcPr>
            <w:tcW w:type="dxa" w:w="1296"/>
            <w:vAlign w:val="center"/>
          </w:tcPr>
          <w:p>
            <w:pPr>
              <w:spacing w:line="240" w:lineRule="auto"/>
              <w:jc w:val="left"/>
            </w:pPr>
            <w:r>
              <w:rPr>
                <w:sz w:val="18"/>
              </w:rPr>
              <w:t>Researchers</w:t>
            </w:r>
          </w:p>
        </w:tc>
        <w:tc>
          <w:tcPr>
            <w:tcW w:type="dxa" w:w="1152"/>
            <w:vAlign w:val="center"/>
          </w:tcPr>
          <w:p>
            <w:pPr>
              <w:spacing w:line="240" w:lineRule="auto"/>
              <w:jc w:val="left"/>
            </w:pPr>
            <w:r>
              <w:rPr>
                <w:sz w:val="18"/>
              </w:rPr>
              <w:t>Design</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Challenges to surgical quality assurance </w:t>
            </w:r>
            <w:r>
              <w:rPr>
                <w:sz w:val="18"/>
                <w:vertAlign w:val="subscript"/>
              </w:rPr>
              <w:t>[35]</w:t>
            </w:r>
            <w:r>
              <w:rPr>
                <w:sz w:val="18"/>
              </w:rPr>
              <w:t xml:space="preserve">; SQA-Onc. Delphi </w:t>
            </w:r>
            <w:r>
              <w:rPr>
                <w:sz w:val="18"/>
                <w:vertAlign w:val="subscript"/>
              </w:rPr>
              <w:t>[37]</w:t>
            </w:r>
          </w:p>
        </w:tc>
        <w:tc>
          <w:tcPr>
            <w:tcW w:type="dxa" w:w="2088"/>
            <w:vAlign w:val="center"/>
          </w:tcPr>
          <w:p>
            <w:pPr>
              <w:spacing w:line="240" w:lineRule="auto"/>
              <w:jc w:val="left"/>
            </w:pPr>
            <w:r>
              <w:rPr>
                <w:sz w:val="18"/>
              </w:rPr>
              <w:t>Credentialing and standardization in place, monitoring rarely implemented</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Entry</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ROMIO protocol </w:t>
            </w:r>
            <w:r>
              <w:rPr>
                <w:sz w:val="18"/>
                <w:vertAlign w:val="subscript"/>
              </w:rPr>
              <w:t>[36]</w:t>
            </w:r>
            <w:r>
              <w:rPr>
                <w:sz w:val="18"/>
              </w:rPr>
              <w:t xml:space="preserve">; standardizing surgical delivery </w:t>
            </w:r>
            <w:r>
              <w:rPr>
                <w:sz w:val="18"/>
                <w:vertAlign w:val="subscript"/>
              </w:rPr>
              <w:t>[59]</w:t>
            </w:r>
            <w:r>
              <w:rPr>
                <w:sz w:val="18"/>
              </w:rPr>
              <w:t xml:space="preserve">; SQA checklist </w:t>
            </w:r>
            <w:r>
              <w:rPr>
                <w:sz w:val="18"/>
                <w:vertAlign w:val="subscript"/>
              </w:rPr>
              <w:t>[38]</w:t>
            </w:r>
          </w:p>
        </w:tc>
        <w:tc>
          <w:tcPr>
            <w:tcW w:type="dxa" w:w="2088"/>
            <w:vAlign w:val="center"/>
          </w:tcPr>
          <w:p>
            <w:pPr>
              <w:spacing w:line="240" w:lineRule="auto"/>
              <w:jc w:val="left"/>
            </w:pPr>
            <w:r>
              <w:rPr>
                <w:sz w:val="18"/>
              </w:rPr>
              <w:t>Methods to define and standardize the intervention and to plan its quality assurance</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Design and entry</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Arteriovenous graft review </w:t>
            </w:r>
            <w:r>
              <w:rPr>
                <w:sz w:val="18"/>
                <w:vertAlign w:val="subscript"/>
              </w:rPr>
              <w:t>[39]</w:t>
            </w:r>
          </w:p>
        </w:tc>
        <w:tc>
          <w:tcPr>
            <w:tcW w:type="dxa" w:w="2088"/>
            <w:vAlign w:val="center"/>
          </w:tcPr>
          <w:p>
            <w:pPr>
              <w:spacing w:line="240" w:lineRule="auto"/>
              <w:jc w:val="left"/>
            </w:pPr>
            <w:r>
              <w:rPr>
                <w:sz w:val="18"/>
              </w:rPr>
              <w:t>No trial with a pre-trial monitoring program or an assessment of technical performance</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Reviews and survey on learning and clustering </w:t>
            </w:r>
            <w:r>
              <w:rPr>
                <w:sz w:val="18"/>
                <w:vertAlign w:val="subscript"/>
              </w:rPr>
              <w:t>[70, 71, 72]</w:t>
            </w:r>
          </w:p>
        </w:tc>
        <w:tc>
          <w:tcPr>
            <w:tcW w:type="dxa" w:w="2088"/>
            <w:vAlign w:val="center"/>
          </w:tcPr>
          <w:p>
            <w:pPr>
              <w:spacing w:line="240" w:lineRule="auto"/>
              <w:jc w:val="left"/>
            </w:pPr>
            <w:r>
              <w:rPr>
                <w:sz w:val="18"/>
              </w:rPr>
              <w:t>Surgeon credentials predefined in 39% of 247 trials and learning analyzed in one</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r>
        <w:tc>
          <w:tcPr>
            <w:tcW w:type="dxa" w:w="1296"/>
            <w:vMerge w:val="restart"/>
            <w:vAlign w:val="center"/>
            <w:shd w:val="clear" w:color="auto" w:fill="F2F2F2"/>
          </w:tcPr>
          <w:p>
            <w:pPr>
              <w:spacing w:line="240" w:lineRule="auto"/>
              <w:jc w:val="center"/>
            </w:pPr>
            <w:r>
              <w:rPr>
                <w:b/>
                <w:sz w:val="18"/>
              </w:rPr>
              <w:t>Site performance is measured from outside</w:t>
            </w:r>
          </w:p>
        </w:tc>
        <w:tc>
          <w:tcPr>
            <w:tcW w:type="dxa" w:w="1872"/>
            <w:vAlign w:val="center"/>
          </w:tcPr>
          <w:p>
            <w:pPr>
              <w:spacing w:line="240" w:lineRule="auto"/>
              <w:jc w:val="left"/>
            </w:pPr>
            <w:r>
              <w:rPr>
                <w:sz w:val="18"/>
              </w:rPr>
              <w:t xml:space="preserve">Clinical Trial Site Performance Measure </w:t>
            </w:r>
            <w:r>
              <w:rPr>
                <w:sz w:val="18"/>
                <w:vertAlign w:val="subscript"/>
              </w:rPr>
              <w:t>[41]</w:t>
            </w:r>
          </w:p>
        </w:tc>
        <w:tc>
          <w:tcPr>
            <w:tcW w:type="dxa" w:w="2088"/>
            <w:vAlign w:val="center"/>
          </w:tcPr>
          <w:p>
            <w:pPr>
              <w:spacing w:line="240" w:lineRule="auto"/>
              <w:jc w:val="left"/>
            </w:pPr>
            <w:r>
              <w:rPr>
                <w:sz w:val="18"/>
              </w:rPr>
              <w:t>18 validated indicators in four domains, with a short form that identifies underperforming sites</w:t>
            </w:r>
          </w:p>
        </w:tc>
        <w:tc>
          <w:tcPr>
            <w:tcW w:type="dxa" w:w="1296"/>
            <w:vAlign w:val="center"/>
          </w:tcPr>
          <w:p>
            <w:pPr>
              <w:spacing w:line="240" w:lineRule="auto"/>
              <w:jc w:val="left"/>
            </w:pPr>
            <w:r>
              <w:rPr>
                <w:sz w:val="18"/>
              </w:rPr>
              <w:t>External assessor</w:t>
            </w:r>
          </w:p>
        </w:tc>
        <w:tc>
          <w:tcPr>
            <w:tcW w:type="dxa" w:w="1152"/>
            <w:vAlign w:val="center"/>
          </w:tcPr>
          <w:p>
            <w:pPr>
              <w:spacing w:line="240" w:lineRule="auto"/>
              <w:jc w:val="left"/>
            </w:pPr>
            <w:r>
              <w:rPr>
                <w:sz w:val="18"/>
              </w:rPr>
              <w:t>Periodic</w:t>
            </w:r>
          </w:p>
        </w:tc>
        <w:tc>
          <w:tcPr>
            <w:tcW w:type="dxa" w:w="1656"/>
            <w:vMerge w:val="restart"/>
            <w:vAlign w:val="center"/>
          </w:tcPr>
          <w:p>
            <w:pPr>
              <w:spacing w:line="240" w:lineRule="auto"/>
              <w:jc w:val="left"/>
            </w:pPr>
            <w:r>
              <w:rPr>
                <w:sz w:val="18"/>
              </w:rPr>
              <w:t>Six indicators that the site reads about its own processes, with rules fixed before the first participant and no comparison between sites or surgeons</w:t>
            </w: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Site readiness framework </w:t>
            </w:r>
            <w:r>
              <w:rPr>
                <w:sz w:val="18"/>
                <w:vertAlign w:val="subscript"/>
              </w:rPr>
              <w:t>[29]</w:t>
            </w:r>
          </w:p>
        </w:tc>
        <w:tc>
          <w:tcPr>
            <w:tcW w:type="dxa" w:w="2088"/>
            <w:vAlign w:val="center"/>
          </w:tcPr>
          <w:p>
            <w:pPr>
              <w:spacing w:line="240" w:lineRule="auto"/>
              <w:jc w:val="left"/>
            </w:pPr>
            <w:r>
              <w:rPr>
                <w:sz w:val="18"/>
              </w:rPr>
              <w:t>Six domains of readiness built from sponsor qualifications</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Before the trial</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Central monitoring studies </w:t>
            </w:r>
            <w:r>
              <w:rPr>
                <w:sz w:val="18"/>
                <w:vertAlign w:val="subscript"/>
              </w:rPr>
              <w:t>[28, 44]</w:t>
            </w:r>
          </w:p>
        </w:tc>
        <w:tc>
          <w:tcPr>
            <w:tcW w:type="dxa" w:w="2088"/>
            <w:vAlign w:val="center"/>
          </w:tcPr>
          <w:p>
            <w:pPr>
              <w:spacing w:line="240" w:lineRule="auto"/>
              <w:jc w:val="left"/>
            </w:pPr>
            <w:r>
              <w:rPr>
                <w:sz w:val="18"/>
              </w:rPr>
              <w:t>Improvement at 83% of sites flagged by statistical monitoring</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Conduct</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Risk-based monitoring in cardiac device trials </w:t>
            </w:r>
            <w:r>
              <w:rPr>
                <w:sz w:val="18"/>
                <w:vertAlign w:val="subscript"/>
              </w:rPr>
              <w:t>[48]</w:t>
            </w:r>
          </w:p>
        </w:tc>
        <w:tc>
          <w:tcPr>
            <w:tcW w:type="dxa" w:w="2088"/>
            <w:vAlign w:val="center"/>
          </w:tcPr>
          <w:p>
            <w:pPr>
              <w:spacing w:line="240" w:lineRule="auto"/>
              <w:jc w:val="left"/>
            </w:pPr>
            <w:r>
              <w:rPr>
                <w:sz w:val="18"/>
              </w:rPr>
              <w:t>Worst-performing sites improved within one year after a sponsor ranked them</w:t>
            </w:r>
          </w:p>
        </w:tc>
        <w:tc>
          <w:tcPr>
            <w:tcW w:type="dxa" w:w="1296"/>
            <w:vAlign w:val="center"/>
          </w:tcPr>
          <w:p>
            <w:pPr>
              <w:spacing w:line="240" w:lineRule="auto"/>
              <w:jc w:val="left"/>
            </w:pPr>
            <w:r>
              <w:rPr>
                <w:sz w:val="18"/>
              </w:rPr>
              <w:t>Sponsor</w:t>
            </w:r>
          </w:p>
        </w:tc>
        <w:tc>
          <w:tcPr>
            <w:tcW w:type="dxa" w:w="1152"/>
            <w:vAlign w:val="center"/>
          </w:tcPr>
          <w:p>
            <w:pPr>
              <w:spacing w:line="240" w:lineRule="auto"/>
              <w:jc w:val="left"/>
            </w:pPr>
            <w:r>
              <w:rPr>
                <w:sz w:val="18"/>
              </w:rPr>
              <w:t>Conduct</w:t>
            </w:r>
          </w:p>
        </w:tc>
        <w:tc>
          <w:tcPr>
            <w:tcW w:type="dxa" w:w="1440"/>
            <w:vMerge/>
            <w:vAlign w:val="center"/>
          </w:tcPr>
          <w:p>
            <w:pPr>
              <w:spacing w:line="240" w:lineRule="auto"/>
              <w:jc w:val="left"/>
            </w:pPr>
          </w:p>
        </w:tc>
      </w:tr>
      <w:tr>
        <w:tc>
          <w:tcPr>
            <w:tcW w:type="dxa" w:w="1296"/>
            <w:vMerge w:val="restart"/>
            <w:vAlign w:val="center"/>
            <w:shd w:val="clear" w:color="auto" w:fill="F2F2F2"/>
          </w:tcPr>
          <w:p>
            <w:pPr>
              <w:spacing w:line="240" w:lineRule="auto"/>
              <w:jc w:val="center"/>
            </w:pPr>
            <w:r>
              <w:rPr>
                <w:b/>
                <w:sz w:val="18"/>
              </w:rPr>
              <w:t>Site quality structures depend on resources</w:t>
            </w:r>
          </w:p>
        </w:tc>
        <w:tc>
          <w:tcPr>
            <w:tcW w:type="dxa" w:w="1872"/>
            <w:vAlign w:val="center"/>
          </w:tcPr>
          <w:p>
            <w:pPr>
              <w:spacing w:line="240" w:lineRule="auto"/>
              <w:jc w:val="left"/>
            </w:pPr>
            <w:r>
              <w:rPr>
                <w:sz w:val="18"/>
              </w:rPr>
              <w:t xml:space="preserve">CTAIM </w:t>
            </w:r>
            <w:r>
              <w:rPr>
                <w:sz w:val="18"/>
                <w:vertAlign w:val="subscript"/>
              </w:rPr>
              <w:t>[30]</w:t>
            </w:r>
          </w:p>
        </w:tc>
        <w:tc>
          <w:tcPr>
            <w:tcW w:type="dxa" w:w="2088"/>
            <w:vAlign w:val="center"/>
          </w:tcPr>
          <w:p>
            <w:pPr>
              <w:spacing w:line="240" w:lineRule="auto"/>
              <w:jc w:val="left"/>
            </w:pPr>
            <w:r>
              <w:rPr>
                <w:sz w:val="18"/>
              </w:rPr>
              <w:t>Annual self-assessment of research infrastructure</w:t>
            </w:r>
          </w:p>
        </w:tc>
        <w:tc>
          <w:tcPr>
            <w:tcW w:type="dxa" w:w="1296"/>
            <w:vAlign w:val="center"/>
          </w:tcPr>
          <w:p>
            <w:pPr>
              <w:spacing w:line="240" w:lineRule="auto"/>
              <w:jc w:val="left"/>
            </w:pPr>
            <w:r>
              <w:rPr>
                <w:sz w:val="18"/>
              </w:rPr>
              <w:t>Site</w:t>
            </w:r>
          </w:p>
        </w:tc>
        <w:tc>
          <w:tcPr>
            <w:tcW w:type="dxa" w:w="1152"/>
            <w:vAlign w:val="center"/>
          </w:tcPr>
          <w:p>
            <w:pPr>
              <w:spacing w:line="240" w:lineRule="auto"/>
              <w:jc w:val="left"/>
            </w:pPr>
            <w:r>
              <w:rPr>
                <w:sz w:val="18"/>
              </w:rPr>
              <w:t>Periodic</w:t>
            </w:r>
          </w:p>
        </w:tc>
        <w:tc>
          <w:tcPr>
            <w:tcW w:type="dxa" w:w="1656"/>
            <w:vMerge w:val="restart"/>
            <w:vAlign w:val="center"/>
          </w:tcPr>
          <w:p>
            <w:pPr>
              <w:spacing w:line="240" w:lineRule="auto"/>
              <w:jc w:val="left"/>
            </w:pPr>
            <w:r>
              <w:rPr>
                <w:sz w:val="18"/>
              </w:rPr>
              <w:t>A framework that a site without a trial unit can run, with a paper floor, a minimum level for the nonhospital organization, and proxies for omitted instruments</w:t>
            </w: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ISO 9001:2015 in Italian trial centers </w:t>
            </w:r>
            <w:r>
              <w:rPr>
                <w:sz w:val="18"/>
                <w:vertAlign w:val="subscript"/>
              </w:rPr>
              <w:t>[31]</w:t>
            </w:r>
          </w:p>
        </w:tc>
        <w:tc>
          <w:tcPr>
            <w:tcW w:type="dxa" w:w="2088"/>
            <w:vAlign w:val="center"/>
          </w:tcPr>
          <w:p>
            <w:pPr>
              <w:spacing w:line="240" w:lineRule="auto"/>
              <w:jc w:val="left"/>
            </w:pPr>
            <w:r>
              <w:rPr>
                <w:sz w:val="18"/>
              </w:rPr>
              <w:t>Organizational workload and training as the main barriers to certification</w:t>
            </w:r>
          </w:p>
        </w:tc>
        <w:tc>
          <w:tcPr>
            <w:tcW w:type="dxa" w:w="1296"/>
            <w:vAlign w:val="center"/>
          </w:tcPr>
          <w:p>
            <w:pPr>
              <w:spacing w:line="240" w:lineRule="auto"/>
              <w:jc w:val="left"/>
            </w:pPr>
            <w:r>
              <w:rPr>
                <w:sz w:val="18"/>
              </w:rPr>
              <w:t>Site</w:t>
            </w:r>
          </w:p>
        </w:tc>
        <w:tc>
          <w:tcPr>
            <w:tcW w:type="dxa" w:w="1152"/>
            <w:vAlign w:val="center"/>
          </w:tcPr>
          <w:p>
            <w:pPr>
              <w:spacing w:line="240" w:lineRule="auto"/>
              <w:jc w:val="left"/>
            </w:pPr>
            <w:r>
              <w:rPr>
                <w:sz w:val="18"/>
              </w:rPr>
              <w:t>Periodic</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Academic trial unit services </w:t>
            </w:r>
            <w:r>
              <w:rPr>
                <w:sz w:val="18"/>
                <w:vertAlign w:val="subscript"/>
              </w:rPr>
              <w:t>[90]</w:t>
            </w:r>
            <w:r>
              <w:rPr>
                <w:sz w:val="18"/>
              </w:rPr>
              <w:t xml:space="preserve">; research management system </w:t>
            </w:r>
            <w:r>
              <w:rPr>
                <w:sz w:val="18"/>
                <w:vertAlign w:val="subscript"/>
              </w:rPr>
              <w:t>[89]</w:t>
            </w:r>
          </w:p>
        </w:tc>
        <w:tc>
          <w:tcPr>
            <w:tcW w:type="dxa" w:w="2088"/>
            <w:vAlign w:val="center"/>
          </w:tcPr>
          <w:p>
            <w:pPr>
              <w:spacing w:line="240" w:lineRule="auto"/>
              <w:jc w:val="left"/>
            </w:pPr>
            <w:r>
              <w:rPr>
                <w:sz w:val="18"/>
              </w:rPr>
              <w:t>Quality management as a core service of trial units and institutions</w:t>
            </w:r>
          </w:p>
        </w:tc>
        <w:tc>
          <w:tcPr>
            <w:tcW w:type="dxa" w:w="1296"/>
            <w:vAlign w:val="center"/>
          </w:tcPr>
          <w:p>
            <w:pPr>
              <w:spacing w:line="240" w:lineRule="auto"/>
              <w:jc w:val="left"/>
            </w:pPr>
            <w:r>
              <w:rPr>
                <w:sz w:val="18"/>
              </w:rPr>
              <w:t>Site</w:t>
            </w:r>
          </w:p>
        </w:tc>
        <w:tc>
          <w:tcPr>
            <w:tcW w:type="dxa" w:w="1152"/>
            <w:vAlign w:val="center"/>
          </w:tcPr>
          <w:p>
            <w:pPr>
              <w:spacing w:line="240" w:lineRule="auto"/>
              <w:jc w:val="left"/>
            </w:pPr>
            <w:r>
              <w:rPr>
                <w:sz w:val="18"/>
              </w:rPr>
              <w:t>Conduct</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Primer on establishing a site </w:t>
            </w:r>
            <w:r>
              <w:rPr>
                <w:sz w:val="18"/>
                <w:vertAlign w:val="subscript"/>
              </w:rPr>
              <w:t>[74]</w:t>
            </w:r>
            <w:r>
              <w:rPr>
                <w:sz w:val="18"/>
              </w:rPr>
              <w:t xml:space="preserve">; guide for migrating sites to ICH E6(R3) </w:t>
            </w:r>
            <w:r>
              <w:rPr>
                <w:sz w:val="18"/>
                <w:vertAlign w:val="subscript"/>
              </w:rPr>
              <w:t>[86]</w:t>
            </w:r>
          </w:p>
        </w:tc>
        <w:tc>
          <w:tcPr>
            <w:tcW w:type="dxa" w:w="2088"/>
            <w:vAlign w:val="center"/>
          </w:tcPr>
          <w:p>
            <w:pPr>
              <w:spacing w:line="240" w:lineRule="auto"/>
              <w:jc w:val="left"/>
            </w:pPr>
            <w:r>
              <w:rPr>
                <w:sz w:val="18"/>
              </w:rPr>
              <w:t>What a private site must assemble, and practical steps toward E6(R3)</w:t>
            </w:r>
          </w:p>
        </w:tc>
        <w:tc>
          <w:tcPr>
            <w:tcW w:type="dxa" w:w="1296"/>
            <w:vAlign w:val="center"/>
          </w:tcPr>
          <w:p>
            <w:pPr>
              <w:spacing w:line="240" w:lineRule="auto"/>
              <w:jc w:val="left"/>
            </w:pPr>
            <w:r>
              <w:rPr>
                <w:sz w:val="18"/>
              </w:rPr>
              <w:t>Site</w:t>
            </w:r>
          </w:p>
        </w:tc>
        <w:tc>
          <w:tcPr>
            <w:tcW w:type="dxa" w:w="1152"/>
            <w:vAlign w:val="center"/>
          </w:tcPr>
          <w:p>
            <w:pPr>
              <w:spacing w:line="240" w:lineRule="auto"/>
              <w:jc w:val="left"/>
            </w:pPr>
            <w:r>
              <w:rPr>
                <w:sz w:val="18"/>
              </w:rPr>
              <w:t>Before the trial</w:t>
            </w:r>
          </w:p>
        </w:tc>
        <w:tc>
          <w:tcPr>
            <w:tcW w:type="dxa" w:w="1440"/>
            <w:vMerge/>
            <w:vAlign w:val="center"/>
          </w:tcPr>
          <w:p>
            <w:pPr>
              <w:spacing w:line="240" w:lineRule="auto"/>
              <w:jc w:val="left"/>
            </w:pPr>
          </w:p>
        </w:tc>
      </w:tr>
      <w:tr>
        <w:tc>
          <w:tcPr>
            <w:tcW w:type="dxa" w:w="1440"/>
            <w:vMerge/>
            <w:vAlign w:val="center"/>
          </w:tcPr>
          <w:p>
            <w:pPr>
              <w:spacing w:line="240" w:lineRule="auto"/>
              <w:jc w:val="center"/>
            </w:pPr>
          </w:p>
        </w:tc>
        <w:tc>
          <w:tcPr>
            <w:tcW w:type="dxa" w:w="1872"/>
            <w:vAlign w:val="center"/>
          </w:tcPr>
          <w:p>
            <w:pPr>
              <w:spacing w:line="240" w:lineRule="auto"/>
              <w:jc w:val="left"/>
            </w:pPr>
            <w:r>
              <w:rPr>
                <w:sz w:val="18"/>
              </w:rPr>
              <w:t xml:space="preserve">Data quality and adverse event reporting at sites </w:t>
            </w:r>
            <w:r>
              <w:rPr>
                <w:sz w:val="18"/>
                <w:vertAlign w:val="subscript"/>
              </w:rPr>
              <w:t>[42, 45]</w:t>
            </w:r>
          </w:p>
        </w:tc>
        <w:tc>
          <w:tcPr>
            <w:tcW w:type="dxa" w:w="2088"/>
            <w:vAlign w:val="center"/>
          </w:tcPr>
          <w:p>
            <w:pPr>
              <w:spacing w:line="240" w:lineRule="auto"/>
              <w:jc w:val="left"/>
            </w:pPr>
            <w:r>
              <w:rPr>
                <w:sz w:val="18"/>
              </w:rPr>
              <w:t>Ad hoc methods and nonstandard event ascertainment</w:t>
            </w:r>
          </w:p>
        </w:tc>
        <w:tc>
          <w:tcPr>
            <w:tcW w:type="dxa" w:w="1296"/>
            <w:vAlign w:val="center"/>
          </w:tcPr>
          <w:p>
            <w:pPr>
              <w:spacing w:line="240" w:lineRule="auto"/>
              <w:jc w:val="left"/>
            </w:pPr>
            <w:r>
              <w:rPr>
                <w:sz w:val="18"/>
              </w:rPr>
              <w:t>Descriptive study</w:t>
            </w:r>
          </w:p>
        </w:tc>
        <w:tc>
          <w:tcPr>
            <w:tcW w:type="dxa" w:w="1152"/>
            <w:vAlign w:val="center"/>
          </w:tcPr>
          <w:p>
            <w:pPr>
              <w:spacing w:line="240" w:lineRule="auto"/>
              <w:jc w:val="left"/>
            </w:pPr>
            <w:r>
              <w:rPr>
                <w:sz w:val="18"/>
              </w:rPr>
              <w:t>Not applicable</w:t>
            </w:r>
          </w:p>
        </w:tc>
        <w:tc>
          <w:tcPr>
            <w:tcW w:type="dxa" w:w="1440"/>
            <w:vMerge/>
            <w:vAlign w:val="center"/>
          </w:tcPr>
          <w:p>
            <w:pPr>
              <w:spacing w:line="240" w:lineRule="auto"/>
              <w:jc w:val="left"/>
            </w:pPr>
          </w:p>
        </w:tc>
      </w:tr>
    </w:tbl>
    <w:p/>
    <w:p>
      <w:pPr>
        <w:ind w:firstLine="720"/>
        <w:jc w:val="both"/>
      </w:pPr>
      <w:r>
        <w:t xml:space="preserve">Risk-based quality management was developed for the party that designs and oversees a trial. The EMA reflection paper and the CTTI principles describe how a sponsor identifies critical factors and directs its oversight toward them </w:t>
      </w:r>
      <w:r>
        <w:rPr>
          <w:vertAlign w:val="subscript"/>
        </w:rPr>
        <w:t>[1, 55]</w:t>
      </w:r>
      <w:r>
        <w:t xml:space="preserve">, and the MDIC supplement carries the same reasoning to devices </w:t>
      </w:r>
      <w:r>
        <w:rPr>
          <w:vertAlign w:val="subscript"/>
        </w:rPr>
        <w:t>[34]</w:t>
      </w:r>
      <w:r>
        <w:t xml:space="preserve">. Sites meet this work through the sponsor, as a monitoring plan that arrives with the protocol </w:t>
      </w:r>
      <w:r>
        <w:rPr>
          <w:vertAlign w:val="subscript"/>
        </w:rPr>
        <w:t>[46]</w:t>
      </w:r>
      <w:r>
        <w:t xml:space="preserve">. Only 19.6% of the Portuguese sites in one survey described a tool that captured risk analysis at site level </w:t>
      </w:r>
      <w:r>
        <w:rPr>
          <w:vertAlign w:val="subscript"/>
        </w:rPr>
        <w:t>[77]</w:t>
      </w:r>
      <w:r>
        <w:t xml:space="preserve">, and in the RBQM adoption survey identification of CtQ factors was among the least used practices even among sponsors </w:t>
      </w:r>
      <w:r>
        <w:rPr>
          <w:vertAlign w:val="subscript"/>
        </w:rPr>
        <w:t>[13]</w:t>
      </w:r>
      <w: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pPr>
        <w:ind w:firstLine="720"/>
        <w:jc w:val="both"/>
      </w:pPr>
      <w:r>
        <w:t xml:space="preserve">Surgical methodology knows operator learning well and controls it before the trial starts. The challenges reported for surgical quality assurance fall under credentialing and standardization, while monitoring during the trial is rarely implemented </w:t>
      </w:r>
      <w:r>
        <w:rPr>
          <w:vertAlign w:val="subscript"/>
        </w:rPr>
        <w:t>[35]</w:t>
      </w:r>
      <w:r>
        <w:t xml:space="preserve">, and the review of arteriovenous graft trials found no trial that assessed technical performance </w:t>
      </w:r>
      <w:r>
        <w:rPr>
          <w:vertAlign w:val="subscript"/>
        </w:rPr>
        <w:t>[39]</w:t>
      </w:r>
      <w:r>
        <w:t xml:space="preserve">. Among 247 randomized surgical trials, 39% predefined surgeon credentials and only one analyzed learning </w:t>
      </w:r>
      <w:r>
        <w:rPr>
          <w:vertAlign w:val="subscript"/>
        </w:rPr>
        <w:t>[72]</w:t>
      </w:r>
      <w:r>
        <w:t xml:space="preserve">. The IDEAL recommendations already proposed statistical process control to follow learning curves </w:t>
      </w:r>
      <w:r>
        <w:rPr>
          <w:vertAlign w:val="subscript"/>
        </w:rPr>
        <w:t>[18]</w:t>
      </w:r>
      <w: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pPr>
        <w:ind w:firstLine="720"/>
        <w:jc w:val="both"/>
      </w:pPr>
      <w:r>
        <w:t xml:space="preserve">Site performance is mostly measured by others. The Clinical Trial Site Performance Measure reduced 126 candidate indicators to 18 in six academic hospitals </w:t>
      </w:r>
      <w:r>
        <w:rPr>
          <w:vertAlign w:val="subscript"/>
        </w:rPr>
        <w:t>[41]</w:t>
      </w:r>
      <w:r>
        <w:t xml:space="preserve">,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 </w:t>
      </w:r>
      <w:r>
        <w:rPr>
          <w:vertAlign w:val="subscript"/>
        </w:rPr>
        <w:t>[44]</w:t>
      </w:r>
      <w:r>
        <w:t xml:space="preserve">, and in implantable cardiac device trials the worst-performing sites improved once a sponsor ranked them </w:t>
      </w:r>
      <w:r>
        <w:rPr>
          <w:vertAlign w:val="subscript"/>
        </w:rPr>
        <w:t>[48]</w:t>
      </w:r>
      <w:r>
        <w:t>. In both cases the improvement followed a signal that reached the site from outside, and the framework places the origin of that signal inside the site, earlier in the conduct.</w:t>
      </w:r>
    </w:p>
    <w:p>
      <w:pPr>
        <w:ind w:firstLine="720"/>
        <w:jc w:val="both"/>
      </w:pPr>
      <w:r>
        <w:t xml:space="preserve">The few quality structures that sites hold today depend on resources. The CTAIM supports an annual self-assessment of a research program's infrastructure </w:t>
      </w:r>
      <w:r>
        <w:rPr>
          <w:vertAlign w:val="subscript"/>
        </w:rPr>
        <w:t>[30]</w:t>
      </w:r>
      <w:r>
        <w:t xml:space="preserve">, and Italian trial centers that considered ISO 9001 certification reported organizational workload and insufficient training as the main barriers </w:t>
      </w:r>
      <w:r>
        <w:rPr>
          <w:vertAlign w:val="subscript"/>
        </w:rPr>
        <w:t>[31]</w:t>
      </w:r>
      <w:r>
        <w:t xml:space="preserve">. Academic institutions add research management systems and trial units whose senior staff rank quality management among their essential services </w:t>
      </w:r>
      <w:r>
        <w:rPr>
          <w:vertAlign w:val="subscript"/>
        </w:rPr>
        <w:t>[89, 90]</w:t>
      </w:r>
      <w: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pPr>
        <w:pStyle w:val="Heading2"/>
      </w:pPr>
      <w:r>
        <w:t>5.3 Putting the framework to work</w:t>
      </w:r>
    </w:p>
    <w:p>
      <w:pPr>
        <w:ind w:firstLine="720"/>
        <w:jc w:val="both"/>
      </w:pPr>
      <w: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Heading3"/>
      </w:pPr>
      <w:r>
        <w:t>5.3.1 A route through the lifecycle</w:t>
      </w:r>
    </w:p>
    <w:p>
      <w:pPr>
        <w:ind w:firstLine="720"/>
        <w:jc w:val="both"/>
      </w:pPr>
      <w: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pPr>
        <w:ind w:firstLine="720"/>
        <w:jc w:val="both"/>
      </w:pPr>
      <w: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pPr>
        <w:ind w:firstLine="720"/>
        <w:jc w:val="both"/>
      </w:pPr>
      <w:r>
        <w:t>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pPr>
        <w:ind w:firstLine="720"/>
        <w:jc w:val="both"/>
      </w:pPr>
      <w: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pPr>
        <w:pStyle w:val="Heading1"/>
      </w:pPr>
      <w: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pPr>
        <w:ind w:firstLine="720"/>
        <w:jc w:val="both"/>
      </w:pPr>
      <w: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pPr>
        <w:ind w:firstLine="720"/>
        <w:jc w:val="both"/>
      </w:pPr>
      <w: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pPr>
        <w:ind w:firstLine="720"/>
        <w:jc w:val="both"/>
      </w:pPr>
      <w:r>
        <w:t>8. Internal verification runs its first review after the first inclusions, earlier than its routine schedule, and the learning curve review follows each surgeon's first cases, while the first safety review takes place soon after the first procedures. Problems of a new workflow are then found while few participants have been exposed to them.</w:t>
      </w:r>
    </w:p>
    <w:p>
      <w:pPr>
        <w:ind w:firstLine="720"/>
        <w:jc w:val="both"/>
      </w:pPr>
      <w:r>
        <w:t>9. An event that meets an escalation trigger in the CCDM goes to the PI without waiting for the next review, and the POT records the PI's decision.</w:t>
      </w:r>
    </w:p>
    <w:p>
      <w:pPr>
        <w:ind w:firstLine="720"/>
        <w:jc w:val="both"/>
      </w:pPr>
      <w: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Heading3"/>
      </w:pPr>
      <w:r>
        <w:t>5.3.2 The review cycle</w:t>
      </w:r>
    </w:p>
    <w:p>
      <w:pPr>
        <w:ind w:firstLine="720"/>
        <w:jc w:val="both"/>
      </w:pPr>
      <w: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pPr>
        <w:ind w:firstLine="720"/>
        <w:jc w:val="both"/>
      </w:pPr>
      <w:r>
        <w:t>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the indicator that prompted it returns under control.</w:t>
      </w:r>
    </w:p>
    <w:p>
      <w:pPr>
        <w:ind w:firstLine="720"/>
        <w:jc w:val="both"/>
      </w:pPr>
      <w: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Heading3"/>
      </w:pPr>
      <w:r>
        <w:t>5.3.3 Where implementation is likely to fail</w:t>
      </w:r>
    </w:p>
    <w:p>
      <w:pPr>
        <w:ind w:firstLine="720"/>
        <w:jc w:val="both"/>
      </w:pPr>
      <w: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pPr>
        <w:spacing w:before="120" w:after="80"/>
      </w:pPr>
      <w:r>
        <w:rPr>
          <w:i/>
          <w:sz w:val="20"/>
        </w:rPr>
        <w:t>Table 5.2. Our assessment of the most likely failures in operating the framework, ordered by lifecycle phase, with what each failure costs and the guard in the design.</w:t>
      </w:r>
    </w:p>
    <w:tbl>
      <w:tblPr>
        <w:tblStyle w:val="TableGrid"/>
        <w:tblW w:type="auto" w:w="0"/>
        <w:tblLayout w:type="fixed"/>
        <w:tblLook w:firstColumn="1" w:firstRow="1" w:lastColumn="0" w:lastRow="0" w:noHBand="0" w:noVBand="1" w:val="04A0"/>
      </w:tblPr>
      <w:tblGrid>
        <w:gridCol w:w="2736"/>
        <w:gridCol w:w="2304"/>
        <w:gridCol w:w="2160"/>
        <w:gridCol w:w="2160"/>
      </w:tblGrid>
      <w:tr>
        <w:tc>
          <w:tcPr>
            <w:tcW w:type="dxa" w:w="2736"/>
            <w:shd w:val="clear" w:color="auto" w:fill="D9D9D9"/>
            <w:vAlign w:val="center"/>
          </w:tcPr>
          <w:p>
            <w:pPr>
              <w:spacing w:line="240" w:lineRule="auto"/>
              <w:ind w:firstLine="0"/>
              <w:jc w:val="center"/>
            </w:pPr>
            <w:r>
              <w:rPr>
                <w:b/>
                <w:sz w:val="18"/>
              </w:rPr>
              <w:t>Phase</w:t>
            </w:r>
          </w:p>
        </w:tc>
        <w:tc>
          <w:tcPr>
            <w:tcW w:type="dxa" w:w="2304"/>
            <w:shd w:val="clear" w:color="auto" w:fill="D9D9D9"/>
            <w:vAlign w:val="center"/>
          </w:tcPr>
          <w:p>
            <w:pPr>
              <w:spacing w:line="240" w:lineRule="auto"/>
              <w:ind w:firstLine="0"/>
              <w:jc w:val="center"/>
            </w:pPr>
            <w:r>
              <w:rPr>
                <w:b/>
                <w:sz w:val="18"/>
              </w:rPr>
              <w:t>Failure</w:t>
            </w:r>
          </w:p>
        </w:tc>
        <w:tc>
          <w:tcPr>
            <w:tcW w:type="dxa" w:w="2160"/>
            <w:shd w:val="clear" w:color="auto" w:fill="D9D9D9"/>
            <w:vAlign w:val="center"/>
          </w:tcPr>
          <w:p>
            <w:pPr>
              <w:spacing w:line="240" w:lineRule="auto"/>
              <w:ind w:firstLine="0"/>
              <w:jc w:val="center"/>
            </w:pPr>
            <w:r>
              <w:rPr>
                <w:b/>
                <w:sz w:val="18"/>
              </w:rPr>
              <w:t>What is lost</w:t>
            </w:r>
          </w:p>
        </w:tc>
        <w:tc>
          <w:tcPr>
            <w:tcW w:type="dxa" w:w="2160"/>
            <w:shd w:val="clear" w:color="auto" w:fill="D9D9D9"/>
            <w:vAlign w:val="center"/>
          </w:tcPr>
          <w:p>
            <w:pPr>
              <w:spacing w:line="240" w:lineRule="auto"/>
              <w:ind w:firstLine="0"/>
              <w:jc w:val="center"/>
            </w:pPr>
            <w:r>
              <w:rPr>
                <w:b/>
                <w:sz w:val="18"/>
              </w:rPr>
              <w:t>Guard in the design</w:t>
            </w:r>
          </w:p>
        </w:tc>
      </w:tr>
      <w:tr>
        <w:tc>
          <w:tcPr>
            <w:tcW w:type="dxa" w:w="2736"/>
            <w:vAlign w:val="center"/>
          </w:tcPr>
          <w:p>
            <w:pPr>
              <w:spacing w:line="240" w:lineRule="auto"/>
              <w:jc w:val="center"/>
            </w:pPr>
            <w:r>
              <w:rPr>
                <w:sz w:val="18"/>
              </w:rPr>
              <w:t>Feasibility</w:t>
            </w:r>
          </w:p>
        </w:tc>
        <w:tc>
          <w:tcPr>
            <w:tcW w:type="dxa" w:w="2304"/>
            <w:vAlign w:val="center"/>
          </w:tcPr>
          <w:p>
            <w:pPr>
              <w:spacing w:line="240" w:lineRule="auto"/>
              <w:jc w:val="left"/>
            </w:pPr>
            <w:r>
              <w:rPr>
                <w:sz w:val="18"/>
              </w:rPr>
              <w:t>Implementation level set below the risk of the investigation</w:t>
            </w:r>
          </w:p>
        </w:tc>
        <w:tc>
          <w:tcPr>
            <w:tcW w:type="dxa" w:w="2160"/>
            <w:vAlign w:val="center"/>
          </w:tcPr>
          <w:p>
            <w:pPr>
              <w:spacing w:line="240" w:lineRule="auto"/>
              <w:jc w:val="left"/>
            </w:pPr>
            <w:r>
              <w:rPr>
                <w:sz w:val="18"/>
              </w:rPr>
              <w:t>Controls where the risk is highest</w:t>
            </w:r>
          </w:p>
        </w:tc>
        <w:tc>
          <w:tcPr>
            <w:tcW w:type="dxa" w:w="2160"/>
            <w:vAlign w:val="center"/>
          </w:tcPr>
          <w:p>
            <w:pPr>
              <w:spacing w:line="240" w:lineRule="auto"/>
              <w:jc w:val="left"/>
            </w:pPr>
            <w:r>
              <w:rPr>
                <w:sz w:val="18"/>
              </w:rPr>
              <w:t>The level is recorded and justified at the end of start-up, where the sponsor can see it</w:t>
            </w:r>
          </w:p>
        </w:tc>
      </w:tr>
      <w:tr>
        <w:tc>
          <w:tcPr>
            <w:tcW w:type="dxa" w:w="2736"/>
            <w:vAlign w:val="center"/>
          </w:tcPr>
          <w:p>
            <w:pPr>
              <w:spacing w:line="240" w:lineRule="auto"/>
              <w:jc w:val="center"/>
            </w:pPr>
            <w:r>
              <w:rPr>
                <w:sz w:val="18"/>
              </w:rPr>
              <w:t>Start-up</w:t>
            </w:r>
          </w:p>
        </w:tc>
        <w:tc>
          <w:tcPr>
            <w:tcW w:type="dxa" w:w="2304"/>
            <w:vAlign w:val="center"/>
          </w:tcPr>
          <w:p>
            <w:pPr>
              <w:spacing w:line="240" w:lineRule="auto"/>
              <w:jc w:val="left"/>
            </w:pPr>
            <w:r>
              <w:rPr>
                <w:sz w:val="18"/>
              </w:rPr>
              <w:t>Risk register copied from the sponsor's risk list</w:t>
            </w:r>
          </w:p>
        </w:tc>
        <w:tc>
          <w:tcPr>
            <w:tcW w:type="dxa" w:w="2160"/>
            <w:vAlign w:val="center"/>
          </w:tcPr>
          <w:p>
            <w:pPr>
              <w:spacing w:line="240" w:lineRule="auto"/>
              <w:jc w:val="left"/>
            </w:pPr>
            <w:r>
              <w:rPr>
                <w:sz w:val="18"/>
              </w:rPr>
              <w:t>The local risks, since the register fills with trial risks the site cannot control</w:t>
            </w:r>
          </w:p>
        </w:tc>
        <w:tc>
          <w:tcPr>
            <w:tcW w:type="dxa" w:w="2160"/>
            <w:vAlign w:val="center"/>
          </w:tcPr>
          <w:p>
            <w:pPr>
              <w:spacing w:line="240" w:lineRule="auto"/>
              <w:jc w:val="left"/>
            </w:pPr>
            <w:r>
              <w:rPr>
                <w:sz w:val="18"/>
              </w:rPr>
              <w:t>Each entry names a local cause and an owner from the RACI</w:t>
            </w:r>
          </w:p>
        </w:tc>
      </w:tr>
      <w:tr>
        <w:tc>
          <w:tcPr>
            <w:tcW w:type="dxa" w:w="2736"/>
            <w:vAlign w:val="center"/>
          </w:tcPr>
          <w:p>
            <w:pPr>
              <w:spacing w:line="240" w:lineRule="auto"/>
              <w:jc w:val="center"/>
            </w:pPr>
            <w:r>
              <w:rPr>
                <w:sz w:val="18"/>
              </w:rPr>
              <w:t>Start-up</w:t>
            </w:r>
          </w:p>
        </w:tc>
        <w:tc>
          <w:tcPr>
            <w:tcW w:type="dxa" w:w="2304"/>
            <w:vAlign w:val="center"/>
          </w:tcPr>
          <w:p>
            <w:pPr>
              <w:spacing w:line="240" w:lineRule="auto"/>
              <w:jc w:val="left"/>
            </w:pPr>
            <w:r>
              <w:rPr>
                <w:sz w:val="18"/>
              </w:rPr>
              <w:t>Training recorded as attendance only</w:t>
            </w:r>
          </w:p>
        </w:tc>
        <w:tc>
          <w:tcPr>
            <w:tcW w:type="dxa" w:w="2160"/>
            <w:vAlign w:val="center"/>
          </w:tcPr>
          <w:p>
            <w:pPr>
              <w:spacing w:line="240" w:lineRule="auto"/>
              <w:jc w:val="left"/>
            </w:pPr>
            <w:r>
              <w:rPr>
                <w:sz w:val="18"/>
              </w:rPr>
              <w:t>Assurance that a person can perform a critical task</w:t>
            </w:r>
          </w:p>
        </w:tc>
        <w:tc>
          <w:tcPr>
            <w:tcW w:type="dxa" w:w="2160"/>
            <w:vAlign w:val="center"/>
          </w:tcPr>
          <w:p>
            <w:pPr>
              <w:spacing w:line="240" w:lineRule="auto"/>
              <w:jc w:val="left"/>
            </w:pPr>
            <w:r>
              <w:rPr>
                <w:sz w:val="18"/>
              </w:rPr>
              <w:t>Release is recorded separately from attendance and activates the delegation</w:t>
            </w:r>
          </w:p>
        </w:tc>
      </w:tr>
      <w:tr>
        <w:tc>
          <w:tcPr>
            <w:tcW w:type="dxa" w:w="2736"/>
            <w:vAlign w:val="center"/>
          </w:tcPr>
          <w:p>
            <w:pPr>
              <w:spacing w:line="240" w:lineRule="auto"/>
              <w:jc w:val="center"/>
            </w:pPr>
            <w:r>
              <w:rPr>
                <w:sz w:val="18"/>
              </w:rPr>
              <w:t>Start-up and conduct</w:t>
            </w:r>
          </w:p>
        </w:tc>
        <w:tc>
          <w:tcPr>
            <w:tcW w:type="dxa" w:w="2304"/>
            <w:vAlign w:val="center"/>
          </w:tcPr>
          <w:p>
            <w:pPr>
              <w:spacing w:line="240" w:lineRule="auto"/>
              <w:jc w:val="left"/>
            </w:pPr>
            <w:r>
              <w:rPr>
                <w:sz w:val="18"/>
              </w:rPr>
              <w:t>Rule changed after the data are known</w:t>
            </w:r>
          </w:p>
        </w:tc>
        <w:tc>
          <w:tcPr>
            <w:tcW w:type="dxa" w:w="2160"/>
            <w:vAlign w:val="center"/>
          </w:tcPr>
          <w:p>
            <w:pPr>
              <w:spacing w:line="240" w:lineRule="auto"/>
              <w:jc w:val="left"/>
            </w:pPr>
            <w:r>
              <w:rPr>
                <w:sz w:val="18"/>
              </w:rPr>
              <w:t>The purpose of the indicator</w:t>
            </w:r>
          </w:p>
        </w:tc>
        <w:tc>
          <w:tcPr>
            <w:tcW w:type="dxa" w:w="2160"/>
            <w:vAlign w:val="center"/>
          </w:tcPr>
          <w:p>
            <w:pPr>
              <w:spacing w:line="240" w:lineRule="auto"/>
              <w:jc w:val="left"/>
            </w:pPr>
            <w:r>
              <w:rPr>
                <w:sz w:val="18"/>
              </w:rPr>
              <w:t>Rules are dated, and a later change applies only to future periods</w:t>
            </w:r>
          </w:p>
        </w:tc>
      </w:tr>
      <w:tr>
        <w:tc>
          <w:tcPr>
            <w:tcW w:type="dxa" w:w="2736"/>
            <w:vAlign w:val="center"/>
          </w:tcPr>
          <w:p>
            <w:pPr>
              <w:spacing w:line="240" w:lineRule="auto"/>
              <w:jc w:val="center"/>
            </w:pPr>
            <w:r>
              <w:rPr>
                <w:sz w:val="18"/>
              </w:rPr>
              <w:t>Enrollment</w:t>
            </w:r>
          </w:p>
        </w:tc>
        <w:tc>
          <w:tcPr>
            <w:tcW w:type="dxa" w:w="2304"/>
            <w:vAlign w:val="center"/>
          </w:tcPr>
          <w:p>
            <w:pPr>
              <w:spacing w:line="240" w:lineRule="auto"/>
              <w:jc w:val="left"/>
            </w:pPr>
            <w:r>
              <w:rPr>
                <w:sz w:val="18"/>
              </w:rPr>
              <w:t>Eligibility evidence completed after the decision</w:t>
            </w:r>
          </w:p>
        </w:tc>
        <w:tc>
          <w:tcPr>
            <w:tcW w:type="dxa" w:w="2160"/>
            <w:vAlign w:val="center"/>
          </w:tcPr>
          <w:p>
            <w:pPr>
              <w:spacing w:line="240" w:lineRule="auto"/>
              <w:jc w:val="left"/>
            </w:pPr>
            <w:r>
              <w:rPr>
                <w:sz w:val="18"/>
              </w:rPr>
              <w:t>The record of what was known when the participant was included</w:t>
            </w:r>
          </w:p>
        </w:tc>
        <w:tc>
          <w:tcPr>
            <w:tcW w:type="dxa" w:w="2160"/>
            <w:vAlign w:val="center"/>
          </w:tcPr>
          <w:p>
            <w:pPr>
              <w:spacing w:line="240" w:lineRule="auto"/>
              <w:jc w:val="left"/>
            </w:pPr>
            <w:r>
              <w:rPr>
                <w:sz w:val="18"/>
              </w:rPr>
              <w:t>The PSEAR records when each piece of evidence became available</w:t>
            </w:r>
          </w:p>
        </w:tc>
      </w:tr>
      <w:tr>
        <w:tc>
          <w:tcPr>
            <w:tcW w:type="dxa" w:w="2736"/>
            <w:vAlign w:val="center"/>
          </w:tcPr>
          <w:p>
            <w:pPr>
              <w:spacing w:line="240" w:lineRule="auto"/>
              <w:jc w:val="center"/>
            </w:pPr>
            <w:r>
              <w:rPr>
                <w:sz w:val="18"/>
              </w:rPr>
              <w:t>Surgery</w:t>
            </w:r>
          </w:p>
        </w:tc>
        <w:tc>
          <w:tcPr>
            <w:tcW w:type="dxa" w:w="2304"/>
            <w:vAlign w:val="center"/>
          </w:tcPr>
          <w:p>
            <w:pPr>
              <w:spacing w:line="240" w:lineRule="auto"/>
              <w:jc w:val="left"/>
            </w:pPr>
            <w:r>
              <w:rPr>
                <w:sz w:val="18"/>
              </w:rPr>
              <w:t>ICDL completed after surgery from the operative note</w:t>
            </w:r>
          </w:p>
        </w:tc>
        <w:tc>
          <w:tcPr>
            <w:tcW w:type="dxa" w:w="2160"/>
            <w:vAlign w:val="center"/>
          </w:tcPr>
          <w:p>
            <w:pPr>
              <w:spacing w:line="240" w:lineRule="auto"/>
              <w:jc w:val="left"/>
            </w:pPr>
            <w:r>
              <w:rPr>
                <w:sz w:val="18"/>
              </w:rPr>
              <w:t>Capture at the moment the data arise</w:t>
            </w:r>
          </w:p>
        </w:tc>
        <w:tc>
          <w:tcPr>
            <w:tcW w:type="dxa" w:w="2160"/>
            <w:vAlign w:val="center"/>
          </w:tcPr>
          <w:p>
            <w:pPr>
              <w:spacing w:line="240" w:lineRule="auto"/>
              <w:jc w:val="left"/>
            </w:pPr>
            <w:r>
              <w:rPr>
                <w:sz w:val="18"/>
              </w:rPr>
              <w:t>Internal verification checks the timeliness of operative records</w:t>
            </w:r>
          </w:p>
        </w:tc>
      </w:tr>
      <w:tr>
        <w:tc>
          <w:tcPr>
            <w:tcW w:type="dxa" w:w="2736"/>
            <w:vAlign w:val="center"/>
          </w:tcPr>
          <w:p>
            <w:pPr>
              <w:spacing w:line="240" w:lineRule="auto"/>
              <w:jc w:val="center"/>
            </w:pPr>
            <w:r>
              <w:rPr>
                <w:sz w:val="18"/>
              </w:rPr>
              <w:t>Surgery</w:t>
            </w:r>
          </w:p>
        </w:tc>
        <w:tc>
          <w:tcPr>
            <w:tcW w:type="dxa" w:w="2304"/>
            <w:vAlign w:val="center"/>
          </w:tcPr>
          <w:p>
            <w:pPr>
              <w:spacing w:line="240" w:lineRule="auto"/>
              <w:jc w:val="left"/>
            </w:pPr>
            <w:r>
              <w:rPr>
                <w:sz w:val="18"/>
              </w:rPr>
              <w:t>Learning curve log kept but not reviewed</w:t>
            </w:r>
          </w:p>
        </w:tc>
        <w:tc>
          <w:tcPr>
            <w:tcW w:type="dxa" w:w="2160"/>
            <w:vAlign w:val="center"/>
          </w:tcPr>
          <w:p>
            <w:pPr>
              <w:spacing w:line="240" w:lineRule="auto"/>
              <w:jc w:val="left"/>
            </w:pPr>
            <w:r>
              <w:rPr>
                <w:sz w:val="18"/>
              </w:rPr>
              <w:t>Detection of drift</w:t>
            </w:r>
          </w:p>
        </w:tc>
        <w:tc>
          <w:tcPr>
            <w:tcW w:type="dxa" w:w="2160"/>
            <w:vAlign w:val="center"/>
          </w:tcPr>
          <w:p>
            <w:pPr>
              <w:spacing w:line="240" w:lineRule="auto"/>
              <w:jc w:val="left"/>
            </w:pPr>
            <w:r>
              <w:rPr>
                <w:sz w:val="18"/>
              </w:rPr>
              <w:t>Review points fixed by case number</w:t>
            </w:r>
          </w:p>
        </w:tc>
      </w:tr>
      <w:tr>
        <w:tc>
          <w:tcPr>
            <w:tcW w:type="dxa" w:w="2736"/>
            <w:vAlign w:val="center"/>
          </w:tcPr>
          <w:p>
            <w:pPr>
              <w:spacing w:line="240" w:lineRule="auto"/>
              <w:jc w:val="center"/>
            </w:pPr>
            <w:r>
              <w:rPr>
                <w:sz w:val="18"/>
              </w:rPr>
              <w:t>Conduct</w:t>
            </w:r>
          </w:p>
        </w:tc>
        <w:tc>
          <w:tcPr>
            <w:tcW w:type="dxa" w:w="2304"/>
            <w:vAlign w:val="center"/>
          </w:tcPr>
          <w:p>
            <w:pPr>
              <w:spacing w:line="240" w:lineRule="auto"/>
              <w:jc w:val="left"/>
            </w:pPr>
            <w:r>
              <w:rPr>
                <w:sz w:val="18"/>
              </w:rPr>
              <w:t>Review by someone who depends on the person reviewed</w:t>
            </w:r>
          </w:p>
        </w:tc>
        <w:tc>
          <w:tcPr>
            <w:tcW w:type="dxa" w:w="2160"/>
            <w:vAlign w:val="center"/>
          </w:tcPr>
          <w:p>
            <w:pPr>
              <w:spacing w:line="240" w:lineRule="auto"/>
              <w:jc w:val="left"/>
            </w:pPr>
            <w:r>
              <w:rPr>
                <w:sz w:val="18"/>
              </w:rPr>
              <w:t>The independence of review</w:t>
            </w:r>
          </w:p>
        </w:tc>
        <w:tc>
          <w:tcPr>
            <w:tcW w:type="dxa" w:w="2160"/>
            <w:vAlign w:val="center"/>
          </w:tcPr>
          <w:p>
            <w:pPr>
              <w:spacing w:line="240" w:lineRule="auto"/>
              <w:jc w:val="left"/>
            </w:pPr>
            <w:r>
              <w:rPr>
                <w:sz w:val="18"/>
              </w:rPr>
              <w:t>Only the rule that nobody reviews their own work</w:t>
            </w:r>
          </w:p>
        </w:tc>
      </w:tr>
      <w:tr>
        <w:tc>
          <w:tcPr>
            <w:tcW w:type="dxa" w:w="2736"/>
            <w:vAlign w:val="center"/>
          </w:tcPr>
          <w:p>
            <w:pPr>
              <w:spacing w:line="240" w:lineRule="auto"/>
              <w:jc w:val="center"/>
            </w:pPr>
            <w:r>
              <w:rPr>
                <w:sz w:val="18"/>
              </w:rPr>
              <w:t>Conduct</w:t>
            </w:r>
          </w:p>
        </w:tc>
        <w:tc>
          <w:tcPr>
            <w:tcW w:type="dxa" w:w="2304"/>
            <w:vAlign w:val="center"/>
          </w:tcPr>
          <w:p>
            <w:pPr>
              <w:spacing w:line="240" w:lineRule="auto"/>
              <w:jc w:val="left"/>
            </w:pPr>
            <w:r>
              <w:rPr>
                <w:sz w:val="18"/>
              </w:rPr>
              <w:t>Departure of the person who runs the instruments</w:t>
            </w:r>
          </w:p>
        </w:tc>
        <w:tc>
          <w:tcPr>
            <w:tcW w:type="dxa" w:w="2160"/>
            <w:vAlign w:val="center"/>
          </w:tcPr>
          <w:p>
            <w:pPr>
              <w:spacing w:line="240" w:lineRule="auto"/>
              <w:jc w:val="left"/>
            </w:pPr>
            <w:r>
              <w:rPr>
                <w:sz w:val="18"/>
              </w:rPr>
              <w:t>Continuity of every control that person held</w:t>
            </w:r>
          </w:p>
        </w:tc>
        <w:tc>
          <w:tcPr>
            <w:tcW w:type="dxa" w:w="2160"/>
            <w:vAlign w:val="center"/>
          </w:tcPr>
          <w:p>
            <w:pPr>
              <w:spacing w:line="240" w:lineRule="auto"/>
              <w:jc w:val="left"/>
            </w:pPr>
            <w:r>
              <w:rPr>
                <w:sz w:val="18"/>
              </w:rPr>
              <w:t>A named backup for each function in the RACI</w:t>
            </w:r>
          </w:p>
        </w:tc>
      </w:tr>
      <w:tr>
        <w:tc>
          <w:tcPr>
            <w:tcW w:type="dxa" w:w="2736"/>
            <w:vAlign w:val="center"/>
          </w:tcPr>
          <w:p>
            <w:pPr>
              <w:spacing w:line="240" w:lineRule="auto"/>
              <w:jc w:val="center"/>
            </w:pPr>
            <w:r>
              <w:rPr>
                <w:sz w:val="18"/>
              </w:rPr>
              <w:t>Conduct</w:t>
            </w:r>
          </w:p>
        </w:tc>
        <w:tc>
          <w:tcPr>
            <w:tcW w:type="dxa" w:w="2304"/>
            <w:vAlign w:val="center"/>
          </w:tcPr>
          <w:p>
            <w:pPr>
              <w:spacing w:line="240" w:lineRule="auto"/>
              <w:jc w:val="left"/>
            </w:pPr>
            <w:r>
              <w:rPr>
                <w:sz w:val="18"/>
              </w:rPr>
              <w:t>Instruments run as parallel records</w:t>
            </w:r>
          </w:p>
        </w:tc>
        <w:tc>
          <w:tcPr>
            <w:tcW w:type="dxa" w:w="2160"/>
            <w:vAlign w:val="center"/>
          </w:tcPr>
          <w:p>
            <w:pPr>
              <w:spacing w:line="240" w:lineRule="auto"/>
              <w:jc w:val="left"/>
            </w:pPr>
            <w:r>
              <w:rPr>
                <w:sz w:val="18"/>
              </w:rPr>
              <w:t>A single authoritative value for each datum</w:t>
            </w:r>
          </w:p>
        </w:tc>
        <w:tc>
          <w:tcPr>
            <w:tcW w:type="dxa" w:w="2160"/>
            <w:vAlign w:val="center"/>
          </w:tcPr>
          <w:p>
            <w:pPr>
              <w:spacing w:line="240" w:lineRule="auto"/>
              <w:jc w:val="left"/>
            </w:pPr>
            <w:r>
              <w:rPr>
                <w:sz w:val="18"/>
              </w:rPr>
              <w:t>The source rule and the source map made before enrollment</w:t>
            </w:r>
          </w:p>
        </w:tc>
      </w:tr>
      <w:tr>
        <w:tc>
          <w:tcPr>
            <w:tcW w:type="dxa" w:w="2736"/>
            <w:vAlign w:val="center"/>
          </w:tcPr>
          <w:p>
            <w:pPr>
              <w:spacing w:line="240" w:lineRule="auto"/>
              <w:jc w:val="center"/>
            </w:pPr>
            <w:r>
              <w:rPr>
                <w:sz w:val="18"/>
              </w:rPr>
              <w:t>Close-out</w:t>
            </w:r>
          </w:p>
        </w:tc>
        <w:tc>
          <w:tcPr>
            <w:tcW w:type="dxa" w:w="2304"/>
            <w:vAlign w:val="center"/>
          </w:tcPr>
          <w:p>
            <w:pPr>
              <w:spacing w:line="240" w:lineRule="auto"/>
              <w:jc w:val="left"/>
            </w:pPr>
            <w:r>
              <w:rPr>
                <w:sz w:val="18"/>
              </w:rPr>
              <w:t>Lessons recorded without a change in procedures</w:t>
            </w:r>
          </w:p>
        </w:tc>
        <w:tc>
          <w:tcPr>
            <w:tcW w:type="dxa" w:w="2160"/>
            <w:vAlign w:val="center"/>
          </w:tcPr>
          <w:p>
            <w:pPr>
              <w:spacing w:line="240" w:lineRule="auto"/>
              <w:jc w:val="left"/>
            </w:pPr>
            <w:r>
              <w:rPr>
                <w:sz w:val="18"/>
              </w:rPr>
              <w:t>Learning across investigations</w:t>
            </w:r>
          </w:p>
        </w:tc>
        <w:tc>
          <w:tcPr>
            <w:tcW w:type="dxa" w:w="2160"/>
            <w:vAlign w:val="center"/>
          </w:tcPr>
          <w:p>
            <w:pPr>
              <w:spacing w:line="240" w:lineRule="auto"/>
              <w:jc w:val="left"/>
            </w:pPr>
            <w:r>
              <w:rPr>
                <w:sz w:val="18"/>
              </w:rPr>
              <w:t>The PIDLR feeds the revision of standing procedures</w:t>
            </w:r>
          </w:p>
        </w:tc>
      </w:tr>
    </w:tbl>
    <w:p/>
    <w:p>
      <w:pPr>
        <w:ind w:firstLine="720"/>
        <w:jc w:val="both"/>
      </w:pPr>
      <w:r>
        <w:t>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Heading3"/>
      </w:pPr>
      <w:r>
        <w:t>5.3.4 What the framework is expected to change</w:t>
      </w:r>
    </w:p>
    <w:p>
      <w:pPr>
        <w:ind w:firstLine="720"/>
        <w:jc w:val="both"/>
      </w:pPr>
      <w: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pPr>
        <w:spacing w:before="120" w:after="80"/>
      </w:pPr>
      <w:r>
        <w:rPr>
          <w:i/>
          <w:sz w:val="20"/>
        </w:rPr>
        <w:t>Table 5.3. The propositions on the effects of the framework, ordered by the phase in which each effect should first appear, with the mechanism, the observation that would refute it, and the measure that would test it.</w:t>
      </w:r>
    </w:p>
    <w:tbl>
      <w:tblPr>
        <w:tblStyle w:val="TableGrid"/>
        <w:tblW w:type="auto" w:w="0"/>
        <w:tblLayout w:type="fixed"/>
        <w:tblLook w:firstColumn="1" w:firstRow="1" w:lastColumn="0" w:lastRow="0" w:noHBand="0" w:noVBand="1" w:val="04A0"/>
      </w:tblPr>
      <w:tblGrid>
        <w:gridCol w:w="2736"/>
        <w:gridCol w:w="2304"/>
        <w:gridCol w:w="2160"/>
        <w:gridCol w:w="2160"/>
      </w:tblGrid>
      <w:tr>
        <w:tc>
          <w:tcPr>
            <w:tcW w:type="dxa" w:w="2736"/>
            <w:shd w:val="clear" w:color="auto" w:fill="D9D9D9"/>
            <w:vAlign w:val="center"/>
          </w:tcPr>
          <w:p>
            <w:pPr>
              <w:spacing w:line="240" w:lineRule="auto"/>
              <w:ind w:firstLine="0"/>
              <w:jc w:val="center"/>
            </w:pPr>
            <w:r>
              <w:rPr>
                <w:b/>
                <w:sz w:val="18"/>
              </w:rPr>
              <w:t>Proposition</w:t>
            </w:r>
          </w:p>
        </w:tc>
        <w:tc>
          <w:tcPr>
            <w:tcW w:type="dxa" w:w="2304"/>
            <w:shd w:val="clear" w:color="auto" w:fill="D9D9D9"/>
            <w:vAlign w:val="center"/>
          </w:tcPr>
          <w:p>
            <w:pPr>
              <w:spacing w:line="240" w:lineRule="auto"/>
              <w:ind w:firstLine="0"/>
              <w:jc w:val="center"/>
            </w:pPr>
            <w:r>
              <w:rPr>
                <w:b/>
                <w:sz w:val="18"/>
              </w:rPr>
              <w:t>Mechanism</w:t>
            </w:r>
          </w:p>
        </w:tc>
        <w:tc>
          <w:tcPr>
            <w:tcW w:type="dxa" w:w="2160"/>
            <w:shd w:val="clear" w:color="auto" w:fill="D9D9D9"/>
            <w:vAlign w:val="center"/>
          </w:tcPr>
          <w:p>
            <w:pPr>
              <w:spacing w:line="240" w:lineRule="auto"/>
              <w:ind w:firstLine="0"/>
              <w:jc w:val="center"/>
            </w:pPr>
            <w:r>
              <w:rPr>
                <w:b/>
                <w:sz w:val="18"/>
              </w:rPr>
              <w:t>Refuted if</w:t>
            </w:r>
          </w:p>
        </w:tc>
        <w:tc>
          <w:tcPr>
            <w:tcW w:type="dxa" w:w="2160"/>
            <w:shd w:val="clear" w:color="auto" w:fill="D9D9D9"/>
            <w:vAlign w:val="center"/>
          </w:tcPr>
          <w:p>
            <w:pPr>
              <w:spacing w:line="240" w:lineRule="auto"/>
              <w:ind w:firstLine="0"/>
              <w:jc w:val="center"/>
            </w:pPr>
            <w:r>
              <w:rPr>
                <w:b/>
                <w:sz w:val="18"/>
              </w:rPr>
              <w:t>Measure</w:t>
            </w:r>
          </w:p>
        </w:tc>
      </w:tr>
      <w:tr>
        <w:tc>
          <w:tcPr>
            <w:tcW w:type="dxa" w:w="2736"/>
            <w:vAlign w:val="center"/>
          </w:tcPr>
          <w:p>
            <w:pPr>
              <w:spacing w:line="240" w:lineRule="auto"/>
              <w:jc w:val="center"/>
            </w:pPr>
            <w:r>
              <w:rPr>
                <w:sz w:val="18"/>
              </w:rPr>
              <w:t>P1. The site detects most of its own deviations before the monitor does</w:t>
            </w:r>
          </w:p>
        </w:tc>
        <w:tc>
          <w:tcPr>
            <w:tcW w:type="dxa" w:w="2304"/>
            <w:vAlign w:val="center"/>
          </w:tcPr>
          <w:p>
            <w:pPr>
              <w:spacing w:line="240" w:lineRule="auto"/>
              <w:jc w:val="left"/>
            </w:pPr>
            <w:r>
              <w:rPr>
                <w:sz w:val="18"/>
              </w:rPr>
              <w:t>Internal verification runs between sponsor visits</w:t>
            </w:r>
          </w:p>
        </w:tc>
        <w:tc>
          <w:tcPr>
            <w:tcW w:type="dxa" w:w="2160"/>
            <w:vAlign w:val="center"/>
          </w:tcPr>
          <w:p>
            <w:pPr>
              <w:spacing w:line="240" w:lineRule="auto"/>
              <w:jc w:val="left"/>
            </w:pPr>
            <w:r>
              <w:rPr>
                <w:sz w:val="18"/>
              </w:rPr>
              <w:t>Over the review periods the site has set, monitors keep finding most deviations first</w:t>
            </w:r>
          </w:p>
        </w:tc>
        <w:tc>
          <w:tcPr>
            <w:tcW w:type="dxa" w:w="2160"/>
            <w:vAlign w:val="center"/>
          </w:tcPr>
          <w:p>
            <w:pPr>
              <w:spacing w:line="240" w:lineRule="auto"/>
              <w:jc w:val="left"/>
            </w:pPr>
            <w:r>
              <w:rPr>
                <w:sz w:val="18"/>
              </w:rPr>
              <w:t>Share of deviations first recorded by the site</w:t>
            </w:r>
          </w:p>
        </w:tc>
      </w:tr>
      <w:tr>
        <w:tc>
          <w:tcPr>
            <w:tcW w:type="dxa" w:w="2736"/>
            <w:vAlign w:val="center"/>
          </w:tcPr>
          <w:p>
            <w:pPr>
              <w:spacing w:line="240" w:lineRule="auto"/>
              <w:jc w:val="center"/>
            </w:pPr>
            <w:r>
              <w:rPr>
                <w:sz w:val="18"/>
              </w:rPr>
              <w:t>P2. Procedural drift appears in the learning curve log before it appears as a complication or a protocol deviation</w:t>
            </w:r>
          </w:p>
        </w:tc>
        <w:tc>
          <w:tcPr>
            <w:tcW w:type="dxa" w:w="2304"/>
            <w:vAlign w:val="center"/>
          </w:tcPr>
          <w:p>
            <w:pPr>
              <w:spacing w:line="240" w:lineRule="auto"/>
              <w:jc w:val="left"/>
            </w:pPr>
            <w:r>
              <w:rPr>
                <w:sz w:val="18"/>
              </w:rPr>
              <w:t>Each case is compared with the same surgeon's earlier cases of the same complexity</w:t>
            </w:r>
          </w:p>
        </w:tc>
        <w:tc>
          <w:tcPr>
            <w:tcW w:type="dxa" w:w="2160"/>
            <w:vAlign w:val="center"/>
          </w:tcPr>
          <w:p>
            <w:pPr>
              <w:spacing w:line="240" w:lineRule="auto"/>
              <w:jc w:val="left"/>
            </w:pPr>
            <w:r>
              <w:rPr>
                <w:sz w:val="18"/>
              </w:rPr>
              <w:t>Once the site has learned to use the log, its signals rarely precede the related events</w:t>
            </w:r>
          </w:p>
        </w:tc>
        <w:tc>
          <w:tcPr>
            <w:tcW w:type="dxa" w:w="2160"/>
            <w:vAlign w:val="center"/>
          </w:tcPr>
          <w:p>
            <w:pPr>
              <w:spacing w:line="240" w:lineRule="auto"/>
              <w:jc w:val="left"/>
            </w:pPr>
            <w:r>
              <w:rPr>
                <w:sz w:val="18"/>
              </w:rPr>
              <w:t>Time from a signal in the log to the related event</w:t>
            </w:r>
          </w:p>
        </w:tc>
      </w:tr>
      <w:tr>
        <w:tc>
          <w:tcPr>
            <w:tcW w:type="dxa" w:w="2736"/>
            <w:vAlign w:val="center"/>
          </w:tcPr>
          <w:p>
            <w:pPr>
              <w:spacing w:line="240" w:lineRule="auto"/>
              <w:jc w:val="center"/>
            </w:pPr>
            <w:r>
              <w:rPr>
                <w:sz w:val="18"/>
              </w:rPr>
              <w:t>P3. Safety cases reach the sponsor within the CIP interval more often</w:t>
            </w:r>
          </w:p>
        </w:tc>
        <w:tc>
          <w:tcPr>
            <w:tcW w:type="dxa" w:w="2304"/>
            <w:vAlign w:val="center"/>
          </w:tcPr>
          <w:p>
            <w:pPr>
              <w:spacing w:line="240" w:lineRule="auto"/>
              <w:jc w:val="left"/>
            </w:pPr>
            <w:r>
              <w:rPr>
                <w:sz w:val="18"/>
              </w:rPr>
              <w:t>Each review finds the stage where delays arise</w:t>
            </w:r>
          </w:p>
        </w:tc>
        <w:tc>
          <w:tcPr>
            <w:tcW w:type="dxa" w:w="2160"/>
            <w:vAlign w:val="center"/>
          </w:tcPr>
          <w:p>
            <w:pPr>
              <w:spacing w:line="240" w:lineRule="auto"/>
              <w:jc w:val="left"/>
            </w:pPr>
            <w:r>
              <w:rPr>
                <w:sz w:val="18"/>
              </w:rPr>
              <w:t>Timeliness does not improve over successive reviews</w:t>
            </w:r>
          </w:p>
        </w:tc>
        <w:tc>
          <w:tcPr>
            <w:tcW w:type="dxa" w:w="2160"/>
            <w:vAlign w:val="center"/>
          </w:tcPr>
          <w:p>
            <w:pPr>
              <w:spacing w:line="240" w:lineRule="auto"/>
              <w:jc w:val="left"/>
            </w:pPr>
            <w:r>
              <w:rPr>
                <w:sz w:val="18"/>
              </w:rPr>
              <w:t>Share of timely initial notifications</w:t>
            </w:r>
          </w:p>
        </w:tc>
      </w:tr>
      <w:tr>
        <w:tc>
          <w:tcPr>
            <w:tcW w:type="dxa" w:w="2736"/>
            <w:vAlign w:val="center"/>
          </w:tcPr>
          <w:p>
            <w:pPr>
              <w:spacing w:line="240" w:lineRule="auto"/>
              <w:jc w:val="center"/>
            </w:pPr>
            <w:r>
              <w:rPr>
                <w:sz w:val="18"/>
              </w:rPr>
              <w:t>P4. Monitors spend less time reconstructing site conduct</w:t>
            </w:r>
          </w:p>
        </w:tc>
        <w:tc>
          <w:tcPr>
            <w:tcW w:type="dxa" w:w="2304"/>
            <w:vAlign w:val="center"/>
          </w:tcPr>
          <w:p>
            <w:pPr>
              <w:spacing w:line="240" w:lineRule="auto"/>
              <w:jc w:val="left"/>
            </w:pPr>
            <w:r>
              <w:rPr>
                <w:sz w:val="18"/>
              </w:rPr>
              <w:t>The site hands over its own records of risk, delegation, and correction</w:t>
            </w:r>
          </w:p>
        </w:tc>
        <w:tc>
          <w:tcPr>
            <w:tcW w:type="dxa" w:w="2160"/>
            <w:vAlign w:val="center"/>
          </w:tcPr>
          <w:p>
            <w:pPr>
              <w:spacing w:line="240" w:lineRule="auto"/>
              <w:jc w:val="left"/>
            </w:pPr>
            <w:r>
              <w:rPr>
                <w:sz w:val="18"/>
              </w:rPr>
              <w:t>Monitoring time does not change over several visits</w:t>
            </w:r>
          </w:p>
        </w:tc>
        <w:tc>
          <w:tcPr>
            <w:tcW w:type="dxa" w:w="2160"/>
            <w:vAlign w:val="center"/>
          </w:tcPr>
          <w:p>
            <w:pPr>
              <w:spacing w:line="240" w:lineRule="auto"/>
              <w:jc w:val="left"/>
            </w:pPr>
            <w:r>
              <w:rPr>
                <w:sz w:val="18"/>
              </w:rPr>
              <w:t>Monitoring time per visit with and without the site records</w:t>
            </w:r>
          </w:p>
        </w:tc>
      </w:tr>
      <w:tr>
        <w:tc>
          <w:tcPr>
            <w:tcW w:type="dxa" w:w="2736"/>
            <w:vAlign w:val="center"/>
          </w:tcPr>
          <w:p>
            <w:pPr>
              <w:spacing w:line="240" w:lineRule="auto"/>
              <w:jc w:val="center"/>
            </w:pPr>
            <w:r>
              <w:rPr>
                <w:sz w:val="18"/>
              </w:rPr>
              <w:t>P5. A site that corrects problems during conduct reaches close-out with fewer unresolved items</w:t>
            </w:r>
          </w:p>
        </w:tc>
        <w:tc>
          <w:tcPr>
            <w:tcW w:type="dxa" w:w="2304"/>
            <w:vAlign w:val="center"/>
          </w:tcPr>
          <w:p>
            <w:pPr>
              <w:spacing w:line="240" w:lineRule="auto"/>
              <w:jc w:val="left"/>
            </w:pPr>
            <w:r>
              <w:rPr>
                <w:sz w:val="18"/>
              </w:rPr>
              <w:t>Problems are corrected in the phase where they arise</w:t>
            </w:r>
          </w:p>
        </w:tc>
        <w:tc>
          <w:tcPr>
            <w:tcW w:type="dxa" w:w="2160"/>
            <w:vAlign w:val="center"/>
          </w:tcPr>
          <w:p>
            <w:pPr>
              <w:spacing w:line="240" w:lineRule="auto"/>
              <w:jc w:val="left"/>
            </w:pPr>
            <w:r>
              <w:rPr>
                <w:sz w:val="18"/>
              </w:rPr>
              <w:t>Close-out workload does not differ from that of comparable sites</w:t>
            </w:r>
          </w:p>
        </w:tc>
        <w:tc>
          <w:tcPr>
            <w:tcW w:type="dxa" w:w="2160"/>
            <w:vAlign w:val="center"/>
          </w:tcPr>
          <w:p>
            <w:pPr>
              <w:spacing w:line="240" w:lineRule="auto"/>
              <w:jc w:val="left"/>
            </w:pPr>
            <w:r>
              <w:rPr>
                <w:sz w:val="18"/>
              </w:rPr>
              <w:t>Open queries at database lock; staff hours spent on close-out</w:t>
            </w:r>
          </w:p>
        </w:tc>
      </w:tr>
      <w:tr>
        <w:tc>
          <w:tcPr>
            <w:tcW w:type="dxa" w:w="2736"/>
            <w:vAlign w:val="center"/>
          </w:tcPr>
          <w:p>
            <w:pPr>
              <w:spacing w:line="240" w:lineRule="auto"/>
              <w:jc w:val="center"/>
            </w:pPr>
            <w:r>
              <w:rPr>
                <w:sz w:val="18"/>
              </w:rPr>
              <w:t>P6. The site keeps its history through changes of staff or monitor</w:t>
            </w:r>
          </w:p>
        </w:tc>
        <w:tc>
          <w:tcPr>
            <w:tcW w:type="dxa" w:w="2304"/>
            <w:vAlign w:val="center"/>
          </w:tcPr>
          <w:p>
            <w:pPr>
              <w:spacing w:line="240" w:lineRule="auto"/>
              <w:jc w:val="left"/>
            </w:pPr>
            <w:r>
              <w:rPr>
                <w:sz w:val="18"/>
              </w:rPr>
              <w:t>Decisions and deviations are dated and held at the site with their reasons</w:t>
            </w:r>
          </w:p>
        </w:tc>
        <w:tc>
          <w:tcPr>
            <w:tcW w:type="dxa" w:w="2160"/>
            <w:vAlign w:val="center"/>
          </w:tcPr>
          <w:p>
            <w:pPr>
              <w:spacing w:line="240" w:lineRule="auto"/>
              <w:jc w:val="left"/>
            </w:pPr>
            <w:r>
              <w:rPr>
                <w:sz w:val="18"/>
              </w:rPr>
              <w:t>Questions already settled are reopened after a handover</w:t>
            </w:r>
          </w:p>
        </w:tc>
        <w:tc>
          <w:tcPr>
            <w:tcW w:type="dxa" w:w="2160"/>
            <w:vAlign w:val="center"/>
          </w:tcPr>
          <w:p>
            <w:pPr>
              <w:spacing w:line="240" w:lineRule="auto"/>
              <w:jc w:val="left"/>
            </w:pPr>
            <w:r>
              <w:rPr>
                <w:sz w:val="18"/>
              </w:rPr>
              <w:t>Items reopened after a change of coordinator or monitor</w:t>
            </w:r>
          </w:p>
        </w:tc>
      </w:tr>
    </w:tbl>
    <w:p/>
    <w:p>
      <w:pPr>
        <w:ind w:firstLine="720"/>
        <w:jc w:val="both"/>
      </w:pPr>
      <w:r>
        <w:t>Documentation can be complete while conduct is poor, and the claim we can defend is narrower, namely that controls written for a specific activity leave fewer failures unnoticed, so the framework acts on the probability that a failure goes undetected. Failures come from lapses and from competing demands on the same person, as well as from systems that do not fit the work or requirements that are unclear, and the framework reaches those that nobody noticed in time, whatever their origin. Deliberate misconduct is outside its reach, since a person who intends to misrepresent conduct can misrepresent the record as well. Review may also make staff more attentive, or only improve the record while conduct stays the same, a risk the design limits because most records hold decisions and identifiers and are read by someone other than their author.</w:t>
      </w:r>
    </w:p>
    <w:p>
      <w:pPr>
        <w:ind w:firstLine="720"/>
        <w:jc w:val="both"/>
      </w:pPr>
      <w: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pPr>
        <w:pStyle w:val="Heading2"/>
      </w:pPr>
      <w:r>
        <w:t>5.4 Scaling and transfer</w:t>
      </w:r>
    </w:p>
    <w:p>
      <w:pPr>
        <w:ind w:firstLine="720"/>
        <w:jc w:val="both"/>
      </w:pPr>
      <w:r>
        <w:t xml:space="preserve">Many of the organizations the framework was designed for have no structure dedicated to research. A private site is expected to assemble standard operating procedures and trained staff, together with the infrastructure research requires, before it enters the field </w:t>
      </w:r>
      <w:r>
        <w:rPr>
          <w:vertAlign w:val="subscript"/>
        </w:rPr>
        <w:t>[74]</w:t>
      </w:r>
      <w:r>
        <w:t>.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pPr>
        <w:pStyle w:val="Heading3"/>
      </w:pPr>
      <w:r>
        <w:t>5.4.1 The minimum level and its trade-offs</w:t>
      </w:r>
    </w:p>
    <w:p>
      <w:pPr>
        <w:ind w:firstLine="720"/>
        <w:jc w:val="both"/>
      </w:pPr>
      <w: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pPr>
        <w:ind w:firstLine="720"/>
        <w:jc w:val="both"/>
      </w:pPr>
      <w: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pPr>
        <w:ind w:firstLine="720"/>
        <w:jc w:val="both"/>
      </w:pPr>
      <w: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pPr>
        <w:pStyle w:val="Heading3"/>
      </w:pPr>
      <w:r>
        <w:t>5.4.2 Instruments that outlive the investigation</w:t>
      </w:r>
    </w:p>
    <w:p>
      <w:pPr>
        <w:ind w:firstLine="720"/>
        <w:jc w:val="both"/>
      </w:pPr>
      <w:r>
        <w:t>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spacing w:before="120" w:after="80"/>
      </w:pPr>
      <w:r>
        <w:rPr>
          <w:i/>
          <w:sz w:val="20"/>
        </w:rPr>
        <w:t>Table 5.4. The twenty-four instruments classified by whether the site keeps them across investigations, keeps their structure with content specific to each investigation, or opens them again for each investigation.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vAlign w:val="center"/>
          </w:tcPr>
          <w:p>
            <w:pPr>
              <w:spacing w:line="240" w:lineRule="auto"/>
              <w:ind w:firstLine="0"/>
              <w:jc w:val="center"/>
            </w:pPr>
            <w:r>
              <w:rPr>
                <w:b/>
                <w:sz w:val="18"/>
              </w:rPr>
              <w:t>Kept by the site across investigations</w:t>
            </w:r>
          </w:p>
        </w:tc>
        <w:tc>
          <w:tcPr>
            <w:tcW w:type="dxa" w:w="2880"/>
            <w:shd w:val="clear" w:color="auto" w:fill="D9D9D9"/>
            <w:vAlign w:val="center"/>
          </w:tcPr>
          <w:p>
            <w:pPr>
              <w:spacing w:line="240" w:lineRule="auto"/>
              <w:ind w:firstLine="0"/>
              <w:jc w:val="center"/>
            </w:pPr>
            <w:r>
              <w:rPr>
                <w:b/>
                <w:sz w:val="18"/>
              </w:rPr>
              <w:t>Site structure with content from each investigation</w:t>
            </w:r>
          </w:p>
        </w:tc>
        <w:tc>
          <w:tcPr>
            <w:tcW w:type="dxa" w:w="2880"/>
            <w:shd w:val="clear" w:color="auto" w:fill="D9D9D9"/>
            <w:vAlign w:val="center"/>
          </w:tcPr>
          <w:p>
            <w:pPr>
              <w:spacing w:line="240" w:lineRule="auto"/>
              <w:ind w:firstLine="0"/>
              <w:jc w:val="center"/>
            </w:pPr>
            <w:r>
              <w:rPr>
                <w:b/>
                <w:sz w:val="18"/>
              </w:rPr>
              <w:t>Opened for each investigation</w:t>
            </w:r>
          </w:p>
        </w:tc>
      </w:tr>
      <w:tr>
        <w:tc>
          <w:tcPr>
            <w:tcW w:type="dxa" w:w="2880"/>
            <w:vAlign w:val="center"/>
          </w:tcPr>
          <w:p>
            <w:pPr>
              <w:spacing w:line="240" w:lineRule="auto"/>
              <w:jc w:val="center"/>
            </w:pPr>
            <w:r>
              <w:rPr>
                <w:sz w:val="18"/>
              </w:rPr>
              <w:t>RACI, TRE, CAPA, PIDLR</w:t>
            </w:r>
          </w:p>
        </w:tc>
        <w:tc>
          <w:tcPr>
            <w:tcW w:type="dxa" w:w="2880"/>
            <w:vAlign w:val="center"/>
          </w:tcPr>
          <w:p>
            <w:pPr>
              <w:spacing w:line="240" w:lineRule="auto"/>
              <w:jc w:val="left"/>
            </w:pPr>
            <w:r>
              <w:rPr>
                <w:sz w:val="18"/>
              </w:rPr>
              <w:t>SRR, SCR, SIRR, POT, IMP, IMC, PIR, SLCT</w:t>
            </w:r>
          </w:p>
        </w:tc>
        <w:tc>
          <w:tcPr>
            <w:tcW w:type="dxa" w:w="2880"/>
            <w:vAlign w:val="center"/>
          </w:tcPr>
          <w:p>
            <w:pPr>
              <w:spacing w:line="240" w:lineRule="auto"/>
              <w:jc w:val="left"/>
            </w:pPr>
            <w:r>
              <w:rPr>
                <w:sz w:val="18"/>
              </w:rPr>
              <w:t>CCDM, DTRM, MRL, SCML, CSST, SART, PSEAR, SIFSL, ICDL, IQL, PFVR, FUCR</w:t>
            </w:r>
          </w:p>
        </w:tc>
      </w:tr>
    </w:tbl>
    <w:p/>
    <w:p>
      <w:pPr>
        <w:ind w:firstLine="720"/>
        <w:jc w:val="both"/>
      </w:pPr>
      <w: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pPr>
        <w:jc w:val="both"/>
      </w:pPr>
      <w:r>
        <w:rPr>
          <w:highlight w:val="yellow"/>
        </w:rPr>
        <w:t>[Number to compute from the final registry dataset: organizations in the sample with more than one investigation, overall and among nonhospital organizations.]</w:t>
      </w:r>
    </w:p>
    <w:p>
      <w:pPr>
        <w:ind w:firstLine="720"/>
        <w:jc w:val="both"/>
      </w:pPr>
      <w: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pPr>
        <w:pStyle w:val="Heading3"/>
      </w:pPr>
      <w:r>
        <w:t>5.4.3 Transfer to other specialties</w:t>
      </w:r>
    </w:p>
    <w:p>
      <w:pPr>
        <w:ind w:firstLine="720"/>
        <w:jc w:val="both"/>
      </w:pPr>
      <w:r>
        <w:t>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pPr>
        <w:pStyle w:val="Heading3"/>
      </w:pPr>
      <w:r>
        <w:t>5.4.4 Transfer to other jurisdictions and editions</w:t>
      </w:r>
    </w:p>
    <w:p>
      <w:pPr>
        <w:ind w:firstLine="720"/>
        <w:jc w:val="both"/>
      </w:pPr>
      <w: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ind w:firstLine="720"/>
        <w:jc w:val="both"/>
      </w:pPr>
      <w:r>
        <w:t xml:space="preserve">Under 21 CFR Part 812, the investigator reports an unanticipated adverse device effect to the sponsor and to the institutional review board within ten working days of first learning of it </w:t>
      </w:r>
      <w:r>
        <w:rPr>
          <w:vertAlign w:val="subscript"/>
        </w:rPr>
        <w:t>[12]</w:t>
      </w:r>
      <w: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pPr>
        <w:ind w:firstLine="720"/>
        <w:jc w:val="both"/>
      </w:pPr>
      <w:r>
        <w:t xml:space="preserve">Within the European Union, the version of ISO 14155 with a presumption of conformity under the MDR is still EN ISO 14155:2020+A11:2024 </w:t>
      </w:r>
      <w:r>
        <w:rPr>
          <w:vertAlign w:val="subscript"/>
        </w:rPr>
        <w:t>[9]</w:t>
      </w:r>
      <w: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pPr>
        <w:pStyle w:val="Heading2"/>
      </w:pPr>
      <w:r>
        <w:t>5.5 Implications</w:t>
      </w:r>
    </w:p>
    <w:p>
      <w:pPr>
        <w:pStyle w:val="Heading3"/>
      </w:pPr>
      <w:r>
        <w:t>5.5.1 For the investigational site</w:t>
      </w:r>
    </w:p>
    <w:p>
      <w:pPr>
        <w:ind w:firstLine="720"/>
        <w:jc w:val="both"/>
      </w:pPr>
      <w: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ind w:firstLine="720"/>
        <w:jc w:val="both"/>
      </w:pPr>
      <w:r>
        <w:t xml:space="preserve">That account costs staff time, and the way sites are paid decides whether anyone covers it. Research payments from industry are expected to reflect the fair market value of the work performed </w:t>
      </w:r>
      <w:r>
        <w:rPr>
          <w:highlight w:val="yellow"/>
        </w:rPr>
        <w:t>[ref: Breault and Knafl 2020]</w:t>
      </w:r>
      <w:r>
        <w:t xml:space="preserve">, and site budgets are negotiated item by item with the sponsor. In one review of ten industry-sponsored trials, the final budgets exceeded the sponsors' initial proposals by 59% on average, and the costs of preparing the trial were among the items that changed most </w:t>
      </w:r>
      <w:r>
        <w:rPr>
          <w:highlight w:val="yellow"/>
        </w:rPr>
        <w:t>[ref: Koulizakos et al. 2023]</w:t>
      </w:r>
      <w: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pPr>
        <w:ind w:firstLine="720"/>
        <w:jc w:val="both"/>
      </w:pPr>
      <w: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pPr>
        <w:pStyle w:val="Heading3"/>
      </w:pPr>
      <w:r>
        <w:t>5.5.2 For sponsors, contract research organizations, and monitors</w:t>
      </w:r>
    </w:p>
    <w:p>
      <w:pPr>
        <w:ind w:firstLine="720"/>
        <w:jc w:val="both"/>
      </w:pPr>
      <w:r>
        <w:t xml:space="preserve">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 </w:t>
      </w:r>
      <w:r>
        <w:rPr>
          <w:vertAlign w:val="subscript"/>
        </w:rPr>
        <w:t>[43]</w:t>
      </w:r>
      <w:r>
        <w:t>, and the framework builds some of them. We found no study measuring how much monitoring time this saves.</w:t>
      </w:r>
    </w:p>
    <w:p>
      <w:pPr>
        <w:ind w:firstLine="720"/>
        <w:jc w:val="both"/>
      </w:pPr>
      <w: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pPr>
        <w:ind w:firstLine="720"/>
        <w:jc w:val="both"/>
      </w:pPr>
      <w:r>
        <w:t xml:space="preserve">Only one of 247 randomized surgical trials analyzed learning effects </w:t>
      </w:r>
      <w:r>
        <w:rPr>
          <w:vertAlign w:val="subscript"/>
        </w:rPr>
        <w:t>[72]</w:t>
      </w:r>
      <w: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pPr>
        <w:ind w:firstLine="720"/>
        <w:jc w:val="both"/>
      </w:pPr>
      <w: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pPr>
        <w:ind w:firstLine="720"/>
        <w:jc w:val="both"/>
      </w:pPr>
      <w: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pPr>
        <w:pStyle w:val="Heading3"/>
      </w:pPr>
      <w:r>
        <w:t>5.5.3 For standards and regulators</w:t>
      </w:r>
    </w:p>
    <w:p>
      <w:pPr>
        <w:ind w:firstLine="720"/>
        <w:jc w:val="both"/>
      </w:pPr>
      <w: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pPr>
        <w:ind w:firstLine="720"/>
        <w:jc w:val="both"/>
      </w:pPr>
      <w: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w:t>
      </w:r>
    </w:p>
    <w:p>
      <w:pPr>
        <w:ind w:firstLine="720"/>
        <w:jc w:val="both"/>
      </w:pPr>
      <w: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pPr>
        <w:pStyle w:val="Heading3"/>
      </w:pPr>
      <w:r>
        <w:t>5.5.4 Ethical implications</w:t>
      </w:r>
    </w:p>
    <w:p>
      <w:pPr>
        <w:ind w:firstLine="720"/>
        <w:jc w:val="both"/>
      </w:pPr>
      <w: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 </w:t>
      </w:r>
      <w:r>
        <w:rPr>
          <w:vertAlign w:val="subscript"/>
        </w:rPr>
        <w:t>[67, 68]</w:t>
      </w:r>
      <w:r>
        <w:t xml:space="preserve"> that a single site rarely allows.</w:t>
      </w:r>
    </w:p>
    <w:p>
      <w:pPr>
        <w:ind w:firstLine="720"/>
        <w:jc w:val="both"/>
      </w:pPr>
      <w: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pPr>
        <w:pStyle w:val="Heading2"/>
      </w:pPr>
      <w:r>
        <w:t>5.6 Evaluation, limitations, and further research</w:t>
      </w:r>
    </w:p>
    <w:p>
      <w:pPr>
        <w:pStyle w:val="Heading3"/>
      </w:pPr>
      <w:r>
        <w:t>5.6.1 The evaluation this thesis performed</w:t>
      </w:r>
    </w:p>
    <w:p>
      <w:pPr>
        <w:ind w:firstLine="720"/>
        <w:jc w:val="both"/>
      </w:pPr>
      <w:r>
        <w:t xml:space="preserve">The Design Science Research Methodology has six activities, and this thesis reports the first three, which run from problem identification to design and development, together with the last, communication </w:t>
      </w:r>
      <w:r>
        <w:rPr>
          <w:vertAlign w:val="subscript"/>
        </w:rPr>
        <w:t>[49]</w:t>
      </w:r>
      <w:r>
        <w:t xml:space="preserve">.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 </w:t>
      </w:r>
      <w:r>
        <w:rPr>
          <w:highlight w:val="yellow"/>
        </w:rPr>
        <w:t>[ref: Sonnenberg and vom Brocke 2012]</w:t>
      </w:r>
      <w:r>
        <w:t xml:space="preserve">.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 </w:t>
      </w:r>
      <w:r>
        <w:rPr>
          <w:highlight w:val="yellow"/>
        </w:rPr>
        <w:t>[ref: Venable et al. 2016]</w:t>
      </w:r>
      <w: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pPr>
        <w:pStyle w:val="Heading3"/>
      </w:pPr>
      <w:r>
        <w:t>5.6.2 Limitations</w:t>
      </w:r>
    </w:p>
    <w:p>
      <w:pPr>
        <w:ind w:firstLine="720"/>
        <w:jc w:val="both"/>
      </w:pPr>
      <w: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ind w:firstLine="720"/>
        <w:jc w:val="both"/>
      </w:pPr>
      <w: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ind w:firstLine="720"/>
        <w:jc w:val="both"/>
      </w:pPr>
      <w: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ind w:firstLine="720"/>
        <w:jc w:val="both"/>
      </w:pPr>
      <w: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pPr>
        <w:ind w:firstLine="720"/>
        <w:jc w:val="both"/>
      </w:pPr>
      <w: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ind w:firstLine="720"/>
        <w:jc w:val="both"/>
      </w:pPr>
      <w: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Heading3"/>
      </w:pPr>
      <w:r>
        <w:t>5.6.3 Further research</w:t>
      </w:r>
    </w:p>
    <w:p>
      <w:pPr>
        <w:ind w:firstLine="720"/>
        <w:jc w:val="both"/>
      </w:pPr>
      <w:r>
        <w:t xml:space="preserve">The framework has completed the development phase of a complex intervention, and the phases that follow, from feasibility to implementation, do not have to come in strict order </w:t>
      </w:r>
      <w:r>
        <w:rPr>
          <w:highlight w:val="yellow"/>
        </w:rPr>
        <w:t>[ref: Skivington et al. 2021]</w:t>
      </w:r>
      <w: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ind w:firstLine="720"/>
        <w:jc w:val="both"/>
      </w:pPr>
      <w: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ind w:firstLine="720"/>
        <w:jc w:val="both"/>
      </w:pPr>
      <w:r>
        <w:t xml:space="preserve">Before-and-after comparisons at one site are likely to report an improvement whatever the framework does. In surgical oncology, 86 of 97 non-randomized studies of quality improvement reported a positive effect, against 2 of 12 randomized trials </w:t>
      </w:r>
      <w:r>
        <w:rPr>
          <w:vertAlign w:val="subscript"/>
        </w:rPr>
        <w:t>[40]</w:t>
      </w:r>
      <w: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pPr>
        <w:ind w:firstLine="720"/>
        <w:jc w:val="both"/>
      </w:pPr>
      <w: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ind w:firstLine="720"/>
        <w:jc w:val="both"/>
      </w:pPr>
      <w:r>
        <w:t>Mapping each instrument to 21 CFR Part 812 would test the transfer to the regime under which most of the nonhospital organizations in the registry operate, again without a new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