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Revisão</w:t>
      </w:r>
      <w:r>
        <w:t xml:space="preserve"> </w:t>
      </w:r>
      <w:r>
        <w:t xml:space="preserve">da</w:t>
      </w:r>
      <w:r>
        <w:t xml:space="preserve"> </w:t>
      </w:r>
      <w:r>
        <w:t xml:space="preserve">tese</w:t>
      </w:r>
      <w:r>
        <w:t xml:space="preserve"> </w:t>
      </w:r>
      <w:r>
        <w:t xml:space="preserve">a</w:t>
      </w:r>
      <w:r>
        <w:t xml:space="preserve"> </w:t>
      </w:r>
      <w:r>
        <w:t xml:space="preserve">partir</w:t>
      </w:r>
      <w:r>
        <w:t xml:space="preserve"> </w:t>
      </w:r>
      <w:r>
        <w:t xml:space="preserve">dos</w:t>
      </w:r>
      <w:r>
        <w:t xml:space="preserve"> </w:t>
      </w:r>
      <w:r>
        <w:t xml:space="preserve">três</w:t>
      </w:r>
      <w:r>
        <w:t xml:space="preserve"> </w:t>
      </w:r>
      <w:r>
        <w:t xml:space="preserve">relatórios</w:t>
      </w:r>
    </w:p>
    <w:p>
      <w:pPr>
        <w:pStyle w:val="Subtitle"/>
      </w:pPr>
      <w:r>
        <w:t xml:space="preserve">Mudanças</w:t>
      </w:r>
      <w:r>
        <w:t xml:space="preserve"> </w:t>
      </w:r>
      <w:r>
        <w:t xml:space="preserve">aplicadas,</w:t>
      </w:r>
      <w:r>
        <w:t xml:space="preserve"> </w:t>
      </w:r>
      <w:r>
        <w:t xml:space="preserve">decisões</w:t>
      </w:r>
      <w:r>
        <w:t xml:space="preserve"> </w:t>
      </w:r>
      <w:r>
        <w:t xml:space="preserve">pendentes</w:t>
      </w:r>
      <w:r>
        <w:t xml:space="preserve"> </w:t>
      </w:r>
      <w:r>
        <w:t xml:space="preserve">e</w:t>
      </w:r>
      <w:r>
        <w:t xml:space="preserve"> </w:t>
      </w:r>
      <w:r>
        <w:t xml:space="preserve">itens</w:t>
      </w:r>
      <w:r>
        <w:t xml:space="preserve"> </w:t>
      </w:r>
      <w:r>
        <w:t xml:space="preserve">descartados</w:t>
      </w:r>
      <w:r>
        <w:t xml:space="preserve"> </w:t>
      </w:r>
      <w:r>
        <w:t xml:space="preserve">—</w:t>
      </w:r>
      <w:r>
        <w:t xml:space="preserve"> </w:t>
      </w:r>
      <w:r>
        <w:t xml:space="preserve">19/10/2026</w:t>
      </w:r>
    </w:p>
    <w:bookmarkStart w:id="20" w:name="como-ler-este-documento"/>
    <w:p>
      <w:pPr>
        <w:pStyle w:val="Heading1"/>
      </w:pPr>
      <w:r>
        <w:t xml:space="preserve">Como ler este documento</w:t>
      </w:r>
    </w:p>
    <w:p>
      <w:pPr>
        <w:pStyle w:val="FirstParagraph"/>
      </w:pPr>
      <w:r>
        <w:t xml:space="preserve">A base é a versão da tese que você enviou em 18/10 (</w:t>
      </w:r>
      <w:r>
        <w:rPr>
          <w:rStyle w:val="VerbatimChar"/>
        </w:rPr>
        <w:t xml:space="preserve">Revisao_manual_tese.docx</w:t>
      </w:r>
      <w:r>
        <w:t xml:space="preserve">, com o fim do 3.2 e o 3.2.1 já reescritos por você). Li os três documentos (Relatório Site Centered, Relatório Tese vs Pesquisa e Propostas de reescrita) e conferi cada ponto contra o texto atual da tese e, quando era questão de fato, contra a fonte primária. Junto entrou o seu pedido anterior: deixar claro que a tese trabalha com</w:t>
      </w:r>
      <w:r>
        <w:t xml:space="preserve"> </w:t>
      </w:r>
      <w:r>
        <w:rPr>
          <w:bCs/>
          <w:b/>
        </w:rPr>
        <w:t xml:space="preserve">domínios</w:t>
      </w:r>
      <w:r>
        <w:t xml:space="preserve"> </w:t>
      </w:r>
      <w:r>
        <w:t xml:space="preserve">CtQ do centro e que os</w:t>
      </w:r>
      <w:r>
        <w:t xml:space="preserve"> </w:t>
      </w:r>
      <w:r>
        <w:rPr>
          <w:bCs/>
          <w:b/>
        </w:rPr>
        <w:t xml:space="preserve">fatores</w:t>
      </w:r>
      <w:r>
        <w:t xml:space="preserve"> </w:t>
      </w:r>
      <w:r>
        <w:t xml:space="preserve">CtQ ficam a cargo do centro em cada ensaio.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Parte 1</w:t>
      </w:r>
      <w:r>
        <w:t xml:space="preserve"> </w:t>
      </w:r>
      <w:r>
        <w:t xml:space="preserve">lista as 72 alterações que fiz na tese, em ordem de prioridade. Todas estão como alterações controladas no arquivo</w:t>
      </w:r>
      <w:r>
        <w:t xml:space="preserve"> </w:t>
      </w:r>
      <w:r>
        <w:rPr>
          <w:rStyle w:val="VerbatimChar"/>
        </w:rPr>
        <w:t xml:space="preserve">Revisao_manual_tese_alteracoes_19-10.docx</w:t>
      </w:r>
      <w:r>
        <w:t xml:space="preserve">, para você aceitar ou rejeitar uma a uma.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Parte 2</w:t>
      </w:r>
      <w:r>
        <w:t xml:space="preserve"> </w:t>
      </w:r>
      <w:r>
        <w:t xml:space="preserve">lista o que só você pode fazer nas imagens (tabelas e figuras são imagens e eu não as edito).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Parte 3</w:t>
      </w:r>
      <w:r>
        <w:t xml:space="preserve"> </w:t>
      </w:r>
      <w:r>
        <w:t xml:space="preserve">lista as decisões que dependem de você, em ordem de prioridade, com as opções e a minha recomendação. Nenhuma delas entrou no texto.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Parte 4</w:t>
      </w:r>
      <w:r>
        <w:t xml:space="preserve"> </w:t>
      </w:r>
      <w:r>
        <w:t xml:space="preserve">lista o que descartei ou que já estava resolvido, com o motivo.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Parte 5</w:t>
      </w:r>
      <w:r>
        <w:t xml:space="preserve"> </w:t>
      </w:r>
      <w:r>
        <w:t xml:space="preserve">lista as fontes primárias conferidas.</w:t>
      </w:r>
    </w:p>
    <w:p>
      <w:pPr>
        <w:pStyle w:val="FirstParagraph"/>
      </w:pPr>
      <w:r>
        <w:t xml:space="preserve">Depois de aceitar as alterações, atualize os campos do Word (Ctrl+A e F9) para a Lista de Tabelas mostrar a numeração nova.</w:t>
      </w:r>
    </w:p>
    <w:bookmarkEnd w:id="20"/>
    <w:bookmarkStart w:id="27" w:name="Xe3a59af599a41e8df5429136b6e2171d1e3b693"/>
    <w:p>
      <w:pPr>
        <w:pStyle w:val="Heading1"/>
      </w:pPr>
      <w:r>
        <w:t xml:space="preserve">Parte 1. Mudanças aplicadas, em ordem de prioridade</w:t>
      </w:r>
    </w:p>
    <w:bookmarkStart w:id="24" w:name="prioridade-alta"/>
    <w:p>
      <w:pPr>
        <w:pStyle w:val="Heading2"/>
      </w:pPr>
      <w:r>
        <w:t xml:space="preserve">Prioridade alta</w:t>
      </w:r>
    </w:p>
    <w:bookmarkStart w:id="21" w:name="domínios-ctq-e-fatores-ctq-seu-pedido"/>
    <w:p>
      <w:pPr>
        <w:pStyle w:val="Heading3"/>
      </w:pPr>
      <w:r>
        <w:t xml:space="preserve">1.1 Domínios CtQ e fatores CtQ (seu pedido)</w:t>
      </w:r>
    </w:p>
    <w:p>
      <w:pPr>
        <w:pStyle w:val="FirstParagraph"/>
      </w:pPr>
      <w:r>
        <w:t xml:space="preserve">O objetivo foi dizer, de forma coerente do Cap. 2 ao Cap. 4, que a tese define</w:t>
      </w:r>
      <w:r>
        <w:t xml:space="preserve"> </w:t>
      </w:r>
      <w:r>
        <w:rPr>
          <w:bCs/>
          <w:b/>
        </w:rPr>
        <w:t xml:space="preserve">domínios</w:t>
      </w:r>
      <w:r>
        <w:t xml:space="preserve"> </w:t>
      </w:r>
      <w:r>
        <w:t xml:space="preserve">(áreas de operação do centro onde os fatores de um ensaio caem) e não</w:t>
      </w:r>
      <w:r>
        <w:t xml:space="preserve"> </w:t>
      </w:r>
      <w:r>
        <w:rPr>
          <w:bCs/>
          <w:b/>
        </w:rPr>
        <w:t xml:space="preserve">fatores</w:t>
      </w:r>
      <w:r>
        <w:t xml:space="preserve"> </w:t>
      </w:r>
      <w:r>
        <w:t xml:space="preserve">(atributos de um estudo específico, que mudam com cada protocolo). O centro identifica os fatores quando o ensaio chega, domínio por domínio. Os números vêm da planilha de derivação (v5).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2.2.2, 1.º parágrafo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frase: para dispositivos, as obrigações vêm da ISO 14155 e do MDR; as entradas da E6(R3) foram registradas da mesma forma e lidas como expectativas de GCP.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E6(R3) define</w:t>
            </w:r>
            <w:r>
              <w:t xml:space="preserve"> </w:t>
            </w:r>
            <w:r>
              <w:rPr>
                <w:iCs/>
                <w:i/>
              </w:rPr>
              <w:t xml:space="preserve">investigational product</w:t>
            </w:r>
            <w:r>
              <w:t xml:space="preserve"> </w:t>
            </w:r>
            <w:r>
              <w:t xml:space="preserve">como forma farmacêutica (glossário), então não obriga dispositivos. Responde ao item A4 dos relatórios.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2.2.2, 2.º parágrafo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a</w:t>
            </w:r>
            <w:r>
              <w:t xml:space="preserve"> </w:t>
            </w:r>
            <w:r>
              <w:t xml:space="preserve">“</w:t>
            </w:r>
            <w:r>
              <w:t xml:space="preserve">lista separada</w:t>
            </w:r>
            <w:r>
              <w:t xml:space="preserve">”</w:t>
            </w:r>
            <w:r>
              <w:t xml:space="preserve"> </w:t>
            </w:r>
            <w:r>
              <w:t xml:space="preserve">de controles. Entra: requisitos (o que proteger) e controles (como controlar) entraram juntos na matriz; a 2.4.2 explica onde se separam.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que a planilha fez: controles como QMS, risco e monitoria estão na Matriz e passam pelos Filtros.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2.2.2, 3.º e 4.º parágrafos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call a requirement in this third category a gap</w:t>
            </w:r>
            <w:r>
              <w:t xml:space="preserve">”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t xml:space="preserve">“</w:t>
            </w:r>
            <w:r>
              <w:t xml:space="preserve">nem todo requisito da terceira categoria é lacuna</w:t>
            </w:r>
            <w:r>
              <w:t xml:space="preserve">”</w:t>
            </w:r>
            <w:r>
              <w:t xml:space="preserve">. A regra caso a caso deixa de chamar de lacuna um requisito presente em só um instrumento de dispositivo: ele é classificado pela parte que obriga.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Matriz, 14 temas não têm obrigação para o centro e só 5 viraram lacunas. A regra nova bate com o que a Matriz fez (ex.:</w:t>
            </w:r>
            <w:r>
              <w:t xml:space="preserve"> </w:t>
            </w:r>
            <w:r>
              <w:rPr>
                <w:iCs/>
                <w:i/>
              </w:rPr>
              <w:t xml:space="preserve">Surgical procedure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Eligibility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Data review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2.4.1, título e 2 parágrafos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Título:</w:t>
            </w:r>
            <w:r>
              <w:t xml:space="preserve"> </w:t>
            </w:r>
            <w:r>
              <w:t xml:space="preserve">“</w:t>
            </w:r>
            <w:r>
              <w:t xml:space="preserve">…site-level CtQ</w:t>
            </w:r>
            <w:r>
              <w:t xml:space="preserve"> </w:t>
            </w:r>
            <w:r>
              <w:rPr>
                <w:bCs/>
                <w:b/>
              </w:rPr>
              <w:t xml:space="preserve">domains</w:t>
            </w:r>
            <w:r>
              <w:t xml:space="preserve">”</w:t>
            </w:r>
            <w:r>
              <w:t xml:space="preserve">. O primeiro parágrafo define fator (E8(R1) 3.2), diz que ele pertence a um estudo e é identificado pelo patrocinador (E6(R3) 3.10), que a tese não define fatores e sim domínios, e que o centro identifica os fatores de cada ensaio dentro dos domínios (remete à 4.3.1). O segundo mantém os quatro critérios.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 pedido. O título prometia fatores e entregava domínios (relatórios: M8).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Parágrafo novo depois dos filtros: cada tema que passou foi rotulado como requisito ou controle; requisitos formam os domínios; controles sem obrigação para o centro são as lacunas; a lacuna 3 veio da literatura. O agrupamento passa a ser por</w:t>
            </w:r>
            <w:r>
              <w:t xml:space="preserve"> </w:t>
            </w:r>
            <w:r>
              <w:rPr>
                <w:bCs/>
                <w:b/>
              </w:rPr>
              <w:t xml:space="preserve">área do centro e fase do estudo</w:t>
            </w:r>
            <w:r>
              <w:t xml:space="preserve">, e um requisito pode alimentar mais de um grupo.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Descreve o método como a planilha executou (abas Filtros e Domínios).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domínios passam a ser</w:t>
            </w:r>
            <w:r>
              <w:t xml:space="preserve"> </w:t>
            </w:r>
            <w:r>
              <w:t xml:space="preserve">“</w:t>
            </w:r>
            <w:r>
              <w:t xml:space="preserve">as áreas do centro onde os fatores CtQ de uma investigação caem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Coerência com a 2.4.1.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3.2, parágrafo novo após o 1.º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 trechos (E6 100, ISO 90, MDR 61) em 43 temas; E6 obriga investigador ou centro em 55% dos trechos, ISO em 59%; 72% dos trechos do MDR obrigam só o patrocinador e 25% chegam ao centro; 8 temas fortemente harmonizados, 21 parcialmente, 14 sem obrigação para o centro.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 pedido de usar a tabela e os números. Números recalculados na planilha v5.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3.2, 2.º e 3.º parágrafos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lista dos fortemente harmonizados passa a ser a da Matriz (8 temas). Os parcialmente harmonizados passam a ser 21, com desvios de protocolo entre eles; segurança vira o exemplo, não</w:t>
            </w:r>
            <w:r>
              <w:t xml:space="preserve"> </w:t>
            </w:r>
            <w:r>
              <w:t xml:space="preserve">“</w:t>
            </w:r>
            <w:r>
              <w:t xml:space="preserve">o único caso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texto dizia</w:t>
            </w:r>
            <w:r>
              <w:t xml:space="preserve"> </w:t>
            </w:r>
            <w:r>
              <w:t xml:space="preserve">“</w:t>
            </w:r>
            <w:r>
              <w:t xml:space="preserve">três áreas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safety reporting is the only case</w:t>
            </w:r>
            <w:r>
              <w:t xml:space="preserve">”</w:t>
            </w:r>
            <w:r>
              <w:t xml:space="preserve">. A Matriz mostra 8 e 21, e desvios estão entre os parciais.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3.2, parágrafo da terceira 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14 temas sem obrigação: 6 de desenho/funções centrais do patrocinador (saem nos filtros), 3 requisitos que voltam no 3.3 (técnica cirúrgica, avaliação de desfechos, curva de aprendizagem), 5 controles que dão quatro lacunas (a autoinspeção entra na lacuna 5); a curva de aprendizagem dá a quinta.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 as lacunas à Matriz. Contagem conferida tema por 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(reescrito)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Seis parágrafos: (1) a pergunta do domínio é diferente da do fator, e por isso o centro identifica os fatores de cada ensaio; (2) a derivação com números: 43 temas, 9 removidos por responsabilidade, 5 por escopo, 1 por relevância, 28 restantes (22 requisitos, 6 controles), 12 domínios candidatos, todos aprovados no teste; (3) 8 domínios se apoiam só em requisitos que algum instrumento já dá ao investigador, os domínios 6 e 9 em parte e os 5 e 8 inteiramente em requisitos que nenhum instrumento dá ao centro; (4) o parágrafo de especificidade do dispositivo (mantido); (5) o suplemento do MDIC como checagem externa dos domínios 1, 4, 6 e 9; (6) exemplo de como um domínio gera um fator dentro de um ensaio de prótese reversa. Saem o parágrafo do</w:t>
            </w:r>
            <w:r>
              <w:t xml:space="preserve"> </w:t>
            </w:r>
            <w:r>
              <w:t xml:space="preserve">“</w:t>
            </w:r>
            <w:r>
              <w:t xml:space="preserve">translational step</w:t>
            </w:r>
            <w:r>
              <w:t xml:space="preserve">”</w:t>
            </w:r>
            <w:r>
              <w:t xml:space="preserve"> </w:t>
            </w:r>
            <w:r>
              <w:t xml:space="preserve">e a frase de que o processo</w:t>
            </w:r>
            <w:r>
              <w:t xml:space="preserve"> </w:t>
            </w:r>
            <w:r>
              <w:t xml:space="preserve">“</w:t>
            </w:r>
            <w:r>
              <w:t xml:space="preserve">identifies the CtQ factors that matter at site level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 pedido e o item A3/M10 dos relatórios. O MDIC foi conferido no texto do suplemento (viabilidade do centro com</w:t>
            </w:r>
            <w:r>
              <w:t xml:space="preserve"> </w:t>
            </w:r>
            <w:r>
              <w:rPr>
                <w:iCs/>
                <w:i/>
              </w:rPr>
              <w:t xml:space="preserve">referral base</w:t>
            </w:r>
            <w:r>
              <w:t xml:space="preserve"> </w:t>
            </w:r>
            <w:r>
              <w:t xml:space="preserve">e equipamento de imagem,</w:t>
            </w:r>
            <w:r>
              <w:t xml:space="preserve"> </w:t>
            </w:r>
            <w:r>
              <w:rPr>
                <w:iCs/>
                <w:i/>
              </w:rPr>
              <w:t xml:space="preserve">accountability</w:t>
            </w:r>
            <w:r>
              <w:t xml:space="preserve">, treino com</w:t>
            </w:r>
            <w:r>
              <w:t xml:space="preserve"> </w:t>
            </w:r>
            <w:r>
              <w:rPr>
                <w:iCs/>
                <w:i/>
              </w:rPr>
              <w:t xml:space="preserve">proctoring</w:t>
            </w:r>
            <w:r>
              <w:t xml:space="preserve">, curva de aprendizagem). Os relatórios citavam também o domínio 10 (segurança), mas o suplemento não sustenta isso, então ficou de fora.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CtQs define what is important</w:t>
            </w:r>
            <w:r>
              <w:t xml:space="preserve">”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t xml:space="preserve">“</w:t>
            </w:r>
            <w:r>
              <w:t xml:space="preserve">a CtQ domain defines where the site has to protect the factors of an investigation</w:t>
            </w:r>
            <w:r>
              <w:t xml:space="preserve">”</w:t>
            </w:r>
            <w:r>
              <w:t xml:space="preserve">. Sai o</w:t>
            </w:r>
            <w:r>
              <w:t xml:space="preserve"> </w:t>
            </w:r>
            <w:r>
              <w:t xml:space="preserve">“</w:t>
            </w:r>
            <w:r>
              <w:t xml:space="preserve">But … therefore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Terminologia.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Frases novas: o registro de riscos é onde o centro transforma os domínios nos fatores de cada investigação; no início do estudo o centro identifica os fatores, com o protocolo e o que o patrocinador comunica, liga cada risco local ao fator que ele ameaça e escala ao patrocinador o que passa do centro.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mecanismo que a 2.4.1 e o 3.3 prometem. Se você preferir um instrumento próprio, ver a Decisão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4.6.2 e 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relationship between actions and CtQ factors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CtQ domains</w:t>
            </w:r>
            <w:r>
              <w:t xml:space="preserve">”</w:t>
            </w:r>
            <w:r>
              <w:t xml:space="preserve">; a Figura 4.4 remete à Seção 3.3, não à 2.4.2.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Terminologia e remissão.</w:t>
            </w:r>
          </w:p>
        </w:tc>
      </w:tr>
    </w:tbl>
    <w:bookmarkEnd w:id="21"/>
    <w:bookmarkStart w:id="22" w:name="X45dbeb158c111db00477584a21f1c34225b01de"/>
    <w:p>
      <w:pPr>
        <w:pStyle w:val="Heading3"/>
      </w:pPr>
      <w:r>
        <w:t xml:space="preserve">1.2 Coerência sobre a responsabilidade do centro</w:t>
      </w:r>
    </w:p>
    <w:p>
      <w:pPr>
        <w:pStyle w:val="FirstParagraph"/>
      </w:pPr>
      <w:r>
        <w:t xml:space="preserve">A tese dizia em alguns lugares que a E6(R3)</w:t>
      </w:r>
      <w:r>
        <w:t xml:space="preserve"> </w:t>
      </w:r>
      <w:r>
        <w:t xml:space="preserve">“</w:t>
      </w:r>
      <w:r>
        <w:t xml:space="preserve">dá ao centro uma parcela maior da responsabilidade</w:t>
      </w:r>
      <w:r>
        <w:t xml:space="preserve">”</w:t>
      </w:r>
      <w:r>
        <w:t xml:space="preserve"> </w:t>
      </w:r>
      <w:r>
        <w:t xml:space="preserve">e em outros que o patrocinador mantém o sistema de qualidade. Usei as formulações das Propostas de reescrita, que mantêm a sua posição (o investigador recebe mais) e dizem do quê (a qualidade da condução no dia a dia).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1.5, 1.ª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da Proposta 1.1.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da Proposta 1.2.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3.2, parágrafo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gave the site a larger share of the responsibility</w:t>
            </w:r>
            <w:r>
              <w:t xml:space="preserve">”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t xml:space="preserve">“</w:t>
            </w:r>
            <w:r>
              <w:t xml:space="preserve">asked more of the site in the conduct of the trial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Cap. 6, penúltimo parágrafo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da Proposta 1.3, que também corrige a remissão para a Seção 1.1 (estava 1.2).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Cap. 6, 1.º parágrafo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base dos pilares fica igual à do 3.2.1: fabricante sob ISO 13485:2016 e ISO 14971:2019, centro sem sistema próprio, gestão da qualidade clínica com o patrocinador pela Cláusula 9. O texto falava em</w:t>
            </w:r>
            <w:r>
              <w:t xml:space="preserve"> </w:t>
            </w:r>
            <w:r>
              <w:t xml:space="preserve">“</w:t>
            </w:r>
            <w:r>
              <w:t xml:space="preserve">risk function holds ISO 14971</w:t>
            </w:r>
            <w:r>
              <w:t xml:space="preserve">”</w:t>
            </w:r>
            <w:r>
              <w:t xml:space="preserve">, que não aparece em nenhum outro lugar da tese.</w:t>
            </w:r>
          </w:p>
        </w:tc>
      </w:tr>
    </w:tbl>
    <w:bookmarkEnd w:id="22"/>
    <w:bookmarkStart w:id="23" w:name="Xb2130c79e0cf0e7d4868332ae04b584b0e6859a"/>
    <w:p>
      <w:pPr>
        <w:pStyle w:val="Heading3"/>
      </w:pPr>
      <w:r>
        <w:t xml:space="preserve">1.3 Erros factuais e remissões, conferidos na fonte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1.1, 3.2 (lacuna 1 e parágrafo histórico),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tese dizia que a E6(R3)</w:t>
            </w:r>
            <w:r>
              <w:t xml:space="preserve"> </w:t>
            </w:r>
            <w:r>
              <w:t xml:space="preserve">“</w:t>
            </w:r>
            <w:r>
              <w:t xml:space="preserve">requires investigators to maintain appropriate site processes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A E6(R3) não diz isso.</w:t>
            </w:r>
            <w:r>
              <w:t xml:space="preserve"> </w:t>
            </w:r>
            <w:r>
              <w:t xml:space="preserve">Ela diz que o investigador deve ter tempo, equipe e instalações adequadas (2.2.2), supervisionar o que delegou em proporção à importância dos dados e ao risco (2.3.1) e, junto com o patrocinador, ter processos proporcionais para os dados (Seção 4). As quatro passagens foram reescritas com o que o texto diz.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E6(R3), 2.2.2, 2.3.1, Seção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Delphi com</w:t>
            </w:r>
            <w:r>
              <w:t xml:space="preserve"> </w:t>
            </w:r>
            <w:r>
              <w:rPr>
                <w:bCs/>
                <w:b/>
              </w:rPr>
              <w:t xml:space="preserve">71</w:t>
            </w:r>
            <w:r>
              <w:t xml:space="preserve"> </w:t>
            </w:r>
            <w:r>
              <w:t xml:space="preserve">participantes (estava 21). A 5.2 já dizia 71.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Butterworth et al. 2025 [37], PubMed 39826446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frase remetia à</w:t>
            </w:r>
            <w:r>
              <w:t xml:space="preserve"> </w:t>
            </w:r>
            <w:r>
              <w:t xml:space="preserve">“</w:t>
            </w:r>
            <w:r>
              <w:t xml:space="preserve">documentary search reported in Section 3.2.1</w:t>
            </w:r>
            <w:r>
              <w:t xml:space="preserve">”</w:t>
            </w:r>
            <w:r>
              <w:t xml:space="preserve">, que você tirou do 3.2.1. Agora remete à comparação de cláusulas do 3.2.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Remissão interna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</w:t>
            </w:r>
            <w:r>
              <w:t xml:space="preserve"> </w:t>
            </w:r>
            <w:r>
              <w:t xml:space="preserve">“</w:t>
            </w:r>
            <w:r>
              <w:t xml:space="preserve">as Section 3.2 reports</w:t>
            </w:r>
            <w:r>
              <w:t xml:space="preserve">”</w:t>
            </w:r>
            <w:r>
              <w:t xml:space="preserve">, porque o parágrafo sobre a ausência de comparação publicada saiu do 3.2.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Remissão interna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frase que dizia que o instrumento local</w:t>
            </w:r>
            <w:r>
              <w:t xml:space="preserve"> </w:t>
            </w:r>
            <w:r>
              <w:t xml:space="preserve">“</w:t>
            </w:r>
            <w:r>
              <w:t xml:space="preserve">acts first</w:t>
            </w:r>
            <w:r>
              <w:t xml:space="preserve">”</w:t>
            </w:r>
            <w:r>
              <w:t xml:space="preserve"> </w:t>
            </w:r>
            <w:r>
              <w:t xml:space="preserve">passa ao condicional e remete à 4.3.3, que diz que as fontes não estabelecem quem detecta primeiro.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Coerência interna (relatório: E7)</w:t>
            </w:r>
          </w:p>
        </w:tc>
      </w:tr>
    </w:tbl>
    <w:bookmarkEnd w:id="23"/>
    <w:bookmarkEnd w:id="24"/>
    <w:bookmarkStart w:id="25" w:name="prioridade-média"/>
    <w:p>
      <w:pPr>
        <w:pStyle w:val="Heading2"/>
      </w:pPr>
      <w:r>
        <w:t xml:space="preserve">Prioridade média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 / 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1.1, parágrafo novo depois do da E6(R3)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E6(R2) → E6(R3): a R2 já pedia ao patrocinador processos e dados críticos e QTLs (5.0) e já dava ao investigador a supervisão do que delegou (4.2.5); a R3 levou QbD e proporcionalidade aos princípios (6 e 7), tornou a supervisão proporcional (2.3.1), criou a seção de governança de dados (Seção 4) e manteve a gestão da qualidade com o patrocinador (3.10). Fecha dizendo por que a R3 é o ponto de partida melhor para um framework do centro.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 ao</w:t>
            </w:r>
            <w:r>
              <w:t xml:space="preserve"> </w:t>
            </w:r>
            <w:r>
              <w:t xml:space="preserve">“</w:t>
            </w:r>
            <w:r>
              <w:t xml:space="preserve">por que a R3?</w:t>
            </w:r>
            <w:r>
              <w:t xml:space="preserve">”</w:t>
            </w:r>
            <w:r>
              <w:t xml:space="preserve"> </w:t>
            </w:r>
            <w:r>
              <w:t xml:space="preserve">(A2). Conferido na E6(R2) e na E6(R3). Sem tabela; ver a Decisão 17.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4.1, parágrafo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instrumentos não são requisitos regulatórios, não substituem procedimentos do patrocinador nem registros obrigatórios, e um registro novo só se justifica onde um processo crítico ficaria sem controle.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A5, com o texto das Propostas.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expecting a center to build one voluntarily is probably unrealistic</w:t>
            </w:r>
            <w:r>
              <w:t xml:space="preserve">”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t xml:space="preserve">“</w:t>
            </w:r>
            <w:r>
              <w:t xml:space="preserve">build a complete system on its own and at once … while a small core adopted in stages is within reach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A5. Fica coerente com a ordem de adoção que a própria 5.5 propõe.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2.2.2, 4.2.2, 4.2.4, 4.3, 4.3.2, 4.4.4, 4.7.2, 5.1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ICH E6(R3) requires</w:t>
            </w:r>
            <w:r>
              <w:t xml:space="preserve">”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t xml:space="preserve">“</w:t>
            </w:r>
            <w:r>
              <w:t xml:space="preserve">expects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states … should</w:t>
            </w:r>
            <w:r>
              <w:t xml:space="preserve">”</w:t>
            </w:r>
            <w:r>
              <w:t xml:space="preserve"> </w:t>
            </w:r>
            <w:r>
              <w:t xml:space="preserve">quando se trata do centro numa investigação de dispositivo, com a cláusula ISO/MDR ao lado.</w:t>
            </w:r>
            <w:r>
              <w:t xml:space="preserve"> </w:t>
            </w:r>
            <w:r>
              <w:t xml:space="preserve">“</w:t>
            </w:r>
            <w:r>
              <w:t xml:space="preserve">ICH E8(R1) requires</w:t>
            </w:r>
            <w:r>
              <w:t xml:space="preserve">”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t xml:space="preserve">“</w:t>
            </w:r>
            <w:r>
              <w:t xml:space="preserve">recommends</w:t>
            </w:r>
            <w:r>
              <w:t xml:space="preserve">”</w:t>
            </w:r>
            <w:r>
              <w:t xml:space="preserve">. Na 4.3, a frase</w:t>
            </w:r>
            <w:r>
              <w:t xml:space="preserve"> </w:t>
            </w:r>
            <w:r>
              <w:t xml:space="preserve">“</w:t>
            </w:r>
            <w:r>
              <w:t xml:space="preserve">the normative duties … derive from ICH E8(R1) and ICH E6(R3)</w:t>
            </w:r>
            <w:r>
              <w:t xml:space="preserve">”</w:t>
            </w:r>
            <w:r>
              <w:t xml:space="preserve"> </w:t>
            </w:r>
            <w:r>
              <w:t xml:space="preserve">passa a dizer que a lógica do ciclo vem da ICH e as obrigações para dispositivos vêm da ISO 14155. Na 4.7.2, a lista mínima de registros passa a citar só ISO e MDR como fonte da obrigação, e a E6(R3) como guia de conteúdo.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A4, com os textos das Propostas 2.1 a 2.9. As cláusulas ISO usadas já estavam na tese.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3.2, lacunas 2, 4 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Frases novas: o centro já tem a parte reativa do ciclo de melhoria (E6(R3) 2.5.3: evitar a repetição de desvios importantes; ISO 14155:2026 10.6 o): corrigir não conformidade significativa); a lacuna 5 é a parte proativa.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M3. Conferido na E6(R3) e na ISO. Bate com a Matriz, onde</w:t>
            </w:r>
            <w:r>
              <w:t xml:space="preserve"> </w:t>
            </w:r>
            <w:r>
              <w:rPr>
                <w:iCs/>
                <w:i/>
              </w:rPr>
              <w:t xml:space="preserve">Corrective action</w:t>
            </w:r>
            <w:r>
              <w:t xml:space="preserve"> </w:t>
            </w:r>
            <w:r>
              <w:t xml:space="preserve">é parcialmente harmonizado.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de fronteira: o framework não cria um mapa de fontes de dados; cada instrumento referencia a fonte do dado crítico, e a definição de registros-fonte da E6(R3) 2.12.2 cobre o resto.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texto das Propostas.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Serviços externos de que o centro depende (radiologia, fisioterapia) são atividades delegadas e ficam sob a mesma supervisão proporcional; quando o patrocinador escolhe ou fornece o prestador, o centro coordena com ele.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M4. E6(R3) 2.3.1.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treino passa a ser descrito como o que a atividade delegada exige além da formação habitual (E6(R3) 2.3.2), e entra a regra: quem só presta cuidado clínico de rotina não recebe treino no dispositivo, salvo se o CIP pedir.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M5. E6(R3) 2.3.2.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indicadores locais não são</w:t>
            </w:r>
            <w:r>
              <w:t xml:space="preserve"> </w:t>
            </w:r>
            <w:r>
              <w:rPr>
                <w:iCs/>
                <w:i/>
              </w:rPr>
              <w:t xml:space="preserve">quality tolerance limits</w:t>
            </w:r>
            <w:r>
              <w:t xml:space="preserve">; os QTLs são do patrocinador para o ensaio (E6(R3) 3.10.1.3), e uma tendência local que possa afetar um fator do ensaio é escalada.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M7(a).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suplemento do MDIC já lista considerações que dependem do centro, então o centro aparece na literatura como contribuinte do desenho; o que nenhum documento descreve é um centro que opera a sua própria camada de controles.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M10, a sua originalidade em uma frase. Conferido no MDIC.</w:t>
            </w:r>
          </w:p>
        </w:tc>
      </w:tr>
    </w:tbl>
    <w:bookmarkEnd w:id="25"/>
    <w:bookmarkStart w:id="26" w:name="prioridade-baixa"/>
    <w:p>
      <w:pPr>
        <w:pStyle w:val="Heading2"/>
      </w:pPr>
      <w:r>
        <w:t xml:space="preserve">Prioridade baixa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would find … and then corrected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then correct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between … from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between … and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the edition that it’s still referenced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the edition referenced in the EU is still the European Standard EN ISO 14155:2020+A11:2024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da rastreabilidade reescrita (</w:t>
            </w:r>
            <w:r>
              <w:t xml:space="preserve">“</w:t>
            </w:r>
            <w:r>
              <w:t xml:space="preserve">it also requested to explain why…</w:t>
            </w:r>
            <w:r>
              <w:t xml:space="preserve">”</w:t>
            </w:r>
            <w:r>
              <w:t xml:space="preserve">);</w:t>
            </w:r>
            <w:r>
              <w:t xml:space="preserve"> </w:t>
            </w:r>
            <w:r>
              <w:t xml:space="preserve">“</w:t>
            </w:r>
            <w:r>
              <w:t xml:space="preserve">weight,.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weight.</w:t>
            </w:r>
            <w:r>
              <w:t xml:space="preserve">”</w:t>
            </w:r>
            <w:r>
              <w:t xml:space="preserve">; citações [10, 8] → [8, 10].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renumeradas: não existia Tabela 4.2, então a 4.3 (escalabilidade) vira</w:t>
            </w:r>
            <w:r>
              <w:t xml:space="preserve"> </w:t>
            </w:r>
            <w:r>
              <w:rPr>
                <w:bCs/>
                <w:b/>
              </w:rPr>
              <w:t xml:space="preserve">4.2</w:t>
            </w:r>
            <w:r>
              <w:t xml:space="preserve"> </w:t>
            </w:r>
            <w:r>
              <w:t xml:space="preserve">e a 4.4 (instrumentos) vira</w:t>
            </w:r>
            <w:r>
              <w:t xml:space="preserve"> </w:t>
            </w:r>
            <w:r>
              <w:rPr>
                <w:bCs/>
                <w:b/>
              </w:rPr>
              <w:t xml:space="preserve">4.3</w:t>
            </w:r>
            <w:r>
              <w:t xml:space="preserve">, na legenda, no texto da 4.8 e na Lista de Tabelas.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 de 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Criei o marcador</w:t>
            </w:r>
            <w:r>
              <w:t xml:space="preserve"> </w:t>
            </w:r>
            <w:r>
              <w:rPr>
                <w:rStyle w:val="VerbatimChar"/>
              </w:rPr>
              <w:t xml:space="preserve">bm_tbl_31</w:t>
            </w:r>
            <w:r>
              <w:t xml:space="preserve"> </w:t>
            </w:r>
            <w:r>
              <w:t xml:space="preserve">na legenda da Tabela 3.1. A lista mostrava</w:t>
            </w:r>
            <w:r>
              <w:t xml:space="preserve"> </w:t>
            </w:r>
            <w:r>
              <w:t xml:space="preserve">“</w:t>
            </w:r>
            <w:r>
              <w:t xml:space="preserve">Erro! Indicador não definido</w:t>
            </w:r>
            <w:r>
              <w:t xml:space="preserve">”</w:t>
            </w:r>
            <w:r>
              <w:t xml:space="preserve"> </w:t>
            </w:r>
            <w:r>
              <w:t xml:space="preserve">porque o marcador não existia. Atualize os campos para aparecer a página.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measures an attribute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measures an aspect of site conduct</w:t>
            </w:r>
            <w:r>
              <w:t xml:space="preserve">”</w:t>
            </w:r>
            <w:r>
              <w:t xml:space="preserve"> </w:t>
            </w:r>
            <w:r>
              <w:t xml:space="preserve">(a troca que eu tinha feito antes e que não estava na sua versão).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da metodologia corrigida (</w:t>
            </w:r>
            <w:r>
              <w:t xml:space="preserve">“</w:t>
            </w:r>
            <w:r>
              <w:t xml:space="preserve">Aplicámos a DSRM e através de…</w:t>
            </w:r>
            <w:r>
              <w:t xml:space="preserve">”</w:t>
            </w:r>
            <w:r>
              <w:t xml:space="preserve"> </w:t>
            </w:r>
            <w:r>
              <w:t xml:space="preserve">estava quebrada).</w:t>
            </w:r>
          </w:p>
        </w:tc>
      </w:tr>
    </w:tbl>
    <w:bookmarkEnd w:id="26"/>
    <w:bookmarkEnd w:id="27"/>
    <w:bookmarkStart w:id="28" w:name="X298ee13d61c3919ab6649cf7fa4657b3965bc52"/>
    <w:p>
      <w:pPr>
        <w:pStyle w:val="Heading1"/>
      </w:pPr>
      <w:r>
        <w:t xml:space="preserve">Parte 2. Edições nas imagens (só você pode fazer)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Tabela 3.1, lacuna 3:</w:t>
      </w:r>
      <w:r>
        <w:t xml:space="preserve"> </w:t>
      </w:r>
      <w:r>
        <w:t xml:space="preserve">as citações [59, 61] estão erradas ([59] é Blencowe e [61] é Biscombe). As fontes de que a observação da aprendizagem durante a condução é rara são Conroy [71, 72], as mesmas da 3.4.2.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Tabela 3.1, lacuna 5:</w:t>
      </w:r>
      <w:r>
        <w:t xml:space="preserve"> </w:t>
      </w:r>
      <w:r>
        <w:t xml:space="preserve">a frase atribui ao</w:t>
      </w:r>
      <w:r>
        <w:t xml:space="preserve"> </w:t>
      </w:r>
      <w:r>
        <w:rPr>
          <w:bCs/>
          <w:b/>
        </w:rPr>
        <w:t xml:space="preserve">MDR</w:t>
      </w:r>
      <w:r>
        <w:t xml:space="preserve"> </w:t>
      </w:r>
      <w:r>
        <w:t xml:space="preserve">o dever reativo de CAPA</w:t>
      </w:r>
      <w:r>
        <w:t xml:space="preserve"> </w:t>
      </w:r>
      <w:r>
        <w:t xml:space="preserve">“</w:t>
      </w:r>
      <w:r>
        <w:t xml:space="preserve">only for significant non-compliance</w:t>
      </w:r>
      <w:r>
        <w:t xml:space="preserve">”</w:t>
      </w:r>
      <w:r>
        <w:t xml:space="preserve">. Esse dever está na</w:t>
      </w:r>
      <w:r>
        <w:t xml:space="preserve"> </w:t>
      </w:r>
      <w:r>
        <w:rPr>
          <w:bCs/>
          <w:b/>
        </w:rPr>
        <w:t xml:space="preserve">ISO 14155:2026, 10.6 o)</w:t>
      </w:r>
      <w:r>
        <w:t xml:space="preserve">. O MDR não trata o tema na Matriz. Sugiro:</w:t>
      </w:r>
      <w:r>
        <w:t xml:space="preserve"> </w:t>
      </w:r>
      <w:r>
        <w:t xml:space="preserve">“</w:t>
      </w:r>
      <w:r>
        <w:t xml:space="preserve">ICH E6(R3) asks the investigator to prevent the recurrence of important deviations (2.5.3), and ISO 14155:2026 asks for corrective and preventive action on significant non-compliance (10.6 o)). Neither requires a proactive cycle with predefined triggers and self-inspection.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Tabela 3.2, domínio 4:</w:t>
      </w:r>
      <w:r>
        <w:t xml:space="preserve"> </w:t>
      </w:r>
      <w:r>
        <w:t xml:space="preserve">“</w:t>
      </w:r>
      <w:r>
        <w:t xml:space="preserve">UDI and MDR non-compliance</w:t>
      </w:r>
      <w:r>
        <w:t xml:space="preserve">”</w:t>
      </w:r>
      <w:r>
        <w:t xml:space="preserve"> </w:t>
      </w:r>
      <w:r>
        <w:t xml:space="preserve">contradiz a 5.3 (dispositivos sob investigação estão fora do sistema UDI, MDR Art. 27(1)). Sugiro:</w:t>
      </w:r>
      <w:r>
        <w:t xml:space="preserve"> </w:t>
      </w:r>
      <w:r>
        <w:t xml:space="preserve">“</w:t>
      </w:r>
      <w:r>
        <w:t xml:space="preserve">Broken participant–device link and loss of traceability under ISO 14155 Clause 7.9 and the MDR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Tabela 4.1, DR1:</w:t>
      </w:r>
      <w:r>
        <w:t xml:space="preserve"> </w:t>
      </w:r>
      <w:r>
        <w:t xml:space="preserve">“</w:t>
      </w:r>
      <w:r>
        <w:t xml:space="preserve">PI Oversight Plan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PI Oversight Template (POT)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Figura 4.2:</w:t>
      </w:r>
      <w:r>
        <w:t xml:space="preserve"> </w:t>
      </w:r>
      <w:r>
        <w:t xml:space="preserve">“</w:t>
      </w:r>
      <w:r>
        <w:t xml:space="preserve">Training Record Evaluation and Training Release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Training Record Evaluation and Release</w:t>
      </w:r>
      <w:r>
        <w:t xml:space="preserve">”</w:t>
      </w:r>
      <w:r>
        <w:t xml:space="preserve">, como na Tabela 4.3 (antiga 4.4) e na lista de abreviaturas.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Tabela 4.3 (antiga 4.4), SRR, coluna Inputs:</w:t>
      </w:r>
      <w:r>
        <w:t xml:space="preserve"> </w:t>
      </w:r>
      <w:r>
        <w:t xml:space="preserve">acrescentar</w:t>
      </w:r>
      <w:r>
        <w:t xml:space="preserve"> </w:t>
      </w:r>
      <w:r>
        <w:t xml:space="preserve">“</w:t>
      </w:r>
      <w:r>
        <w:t xml:space="preserve">the CtQ factors of the investigation and the sponsor’s risk information</w:t>
      </w:r>
      <w:r>
        <w:t xml:space="preserve">”</w:t>
      </w:r>
      <w:r>
        <w:t xml:space="preserve">, para bater com a 4.3.1 nova. Depende da Decisão 3.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Dentro das imagens</w:t>
      </w:r>
      <w:r>
        <w:t xml:space="preserve">, se alguma tabela traz o número escrito (por exemplo</w:t>
      </w:r>
      <w:r>
        <w:t xml:space="preserve"> </w:t>
      </w:r>
      <w:r>
        <w:t xml:space="preserve">“</w:t>
      </w:r>
      <w:r>
        <w:t xml:space="preserve">Table 4.4</w:t>
      </w:r>
      <w:r>
        <w:t xml:space="preserve">”</w:t>
      </w:r>
      <w:r>
        <w:t xml:space="preserve">), atualizar para a numeração nova.</w:t>
      </w:r>
    </w:p>
    <w:bookmarkEnd w:id="28"/>
    <w:bookmarkStart w:id="29" w:name="X4b50074c9bdb0ab0b2973f2201199d8aacd07a3"/>
    <w:p>
      <w:pPr>
        <w:pStyle w:val="Heading1"/>
      </w:pPr>
      <w:r>
        <w:t xml:space="preserve">Parte 3. Decisões que dependem de você, em ordem de prioridade</w:t>
      </w:r>
    </w:p>
    <w:p>
      <w:pPr>
        <w:pStyle w:val="FirstParagraph"/>
      </w:pPr>
      <w:r>
        <w:rPr>
          <w:bCs/>
          <w:b/>
        </w:rPr>
        <w:t xml:space="preserve">Decisão 1. DR1 e lacuna 1 (Tabelas 3.4 e 3.1).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Problema:</w:t>
      </w:r>
      <w:r>
        <w:t xml:space="preserve"> </w:t>
      </w:r>
      <w:r>
        <w:t xml:space="preserve">o DR1 diz</w:t>
      </w:r>
      <w:r>
        <w:t xml:space="preserve"> </w:t>
      </w:r>
      <w:r>
        <w:t xml:space="preserve">“</w:t>
      </w:r>
      <w:r>
        <w:t xml:space="preserve">The site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operate an explicit, documented quality system covering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site-level investigational activity</w:t>
      </w:r>
      <w:r>
        <w:t xml:space="preserve">”</w:t>
      </w:r>
      <w:r>
        <w:t xml:space="preserve">. Isso descreve um segundo QMS, e é a primeira objeção que um arguidor regulatório vai levantar. O texto da tese agora diz que a E6(R3) mantém o QMS com o patrocinador.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Opções: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5"/>
        </w:numPr>
        <w:pStyle w:val="Compact"/>
      </w:pPr>
      <w:r>
        <w:t xml:space="preserve">manter;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6"/>
        </w:numPr>
        <w:pStyle w:val="Compact"/>
      </w:pPr>
      <w:r>
        <w:t xml:space="preserve">reescrever o DR1 como função:</w:t>
      </w:r>
      <w:r>
        <w:t xml:space="preserve"> </w:t>
      </w:r>
      <w:r>
        <w:t xml:space="preserve">“</w:t>
      </w:r>
      <w:r>
        <w:t xml:space="preserve">The site holds one documented framework that organizes the investigator quality duties the instruments distribute separately, kept proportionate to the investigation</w:t>
      </w:r>
      <w:r>
        <w:t xml:space="preserve">”</w:t>
      </w:r>
      <w:r>
        <w:t xml:space="preserve"> </w:t>
      </w:r>
      <w:r>
        <w:t xml:space="preserve">(Proposta 1.4);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7"/>
        </w:numPr>
        <w:pStyle w:val="Compact"/>
      </w:pPr>
      <w:r>
        <w:t xml:space="preserve">fazer (b) e renomear a lacuna 1 para</w:t>
      </w:r>
      <w:r>
        <w:t xml:space="preserve"> </w:t>
      </w:r>
      <w:r>
        <w:t xml:space="preserve">“</w:t>
      </w:r>
      <w:r>
        <w:t xml:space="preserve">No structured site-level organization of investigator quality duties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Recomendação:</w:t>
      </w:r>
      <w:r>
        <w:t xml:space="preserve"> </w:t>
      </w:r>
      <w:r>
        <w:t xml:space="preserve">(b). A lacuna 1 pode ficar com o nome atual, porque o texto da coluna já diz que nenhum QMS clínico é exigido do centro.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Muda:</w:t>
      </w:r>
      <w:r>
        <w:t xml:space="preserve"> </w:t>
      </w:r>
      <w:r>
        <w:t xml:space="preserve">a imagem da Tabela 3.4 e, se escolher (c), a Tabela 3.1, o 3.2 e o Abstract.</w:t>
      </w:r>
    </w:p>
    <w:p>
      <w:pPr>
        <w:pStyle w:val="FirstParagraph"/>
      </w:pPr>
      <w:r>
        <w:rPr>
          <w:bCs/>
          <w:b/>
        </w:rPr>
        <w:t xml:space="preserve">Decisão 2.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Permanent clinical trial infrastructure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(já decidido retirar; falta o CSV).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Onde aparece:</w:t>
      </w:r>
    </w:p>
    <w:p>
      <w:pPr>
        <w:numPr>
          <w:ilvl w:val="1"/>
          <w:numId w:val="1009"/>
        </w:numPr>
        <w:pStyle w:val="Compact"/>
      </w:pPr>
      <w:r>
        <w:t xml:space="preserve">1.5, último parágrafo (</w:t>
      </w:r>
      <w:r>
        <w:t xml:space="preserve">“</w:t>
      </w:r>
      <w:r>
        <w:t xml:space="preserve">no permanent research structure was publicly identifiable</w:t>
      </w:r>
      <w:r>
        <w:t xml:space="preserve">”</w:t>
      </w:r>
      <w:r>
        <w:t xml:space="preserve">);</w:t>
      </w:r>
    </w:p>
    <w:p>
      <w:pPr>
        <w:numPr>
          <w:ilvl w:val="1"/>
          <w:numId w:val="1009"/>
        </w:numPr>
        <w:pStyle w:val="Compact"/>
      </w:pPr>
      <w:r>
        <w:t xml:space="preserve">3.4.4: a remissão para uma definição</w:t>
      </w:r>
      <w:r>
        <w:t xml:space="preserve"> </w:t>
      </w:r>
      <w:r>
        <w:t xml:space="preserve">“</w:t>
      </w:r>
      <w:r>
        <w:t xml:space="preserve">in Section 2.4.2</w:t>
      </w:r>
      <w:r>
        <w:t xml:space="preserve">”</w:t>
      </w:r>
      <w:r>
        <w:t xml:space="preserve"> </w:t>
      </w:r>
      <w:r>
        <w:t xml:space="preserve">que não existe, a Tabela 3.3 e a nota;</w:t>
      </w:r>
    </w:p>
    <w:p>
      <w:pPr>
        <w:numPr>
          <w:ilvl w:val="1"/>
          <w:numId w:val="1009"/>
        </w:numPr>
        <w:pStyle w:val="Compact"/>
      </w:pPr>
      <w:r>
        <w:t xml:space="preserve">3.4.5 inteira;</w:t>
      </w:r>
    </w:p>
    <w:p>
      <w:pPr>
        <w:numPr>
          <w:ilvl w:val="1"/>
          <w:numId w:val="1009"/>
        </w:numPr>
        <w:pStyle w:val="Compact"/>
      </w:pPr>
      <w:r>
        <w:t xml:space="preserve">5.3 (</w:t>
      </w:r>
      <w:r>
        <w:t xml:space="preserve">“</w:t>
      </w:r>
      <w:r>
        <w:t xml:space="preserve">38 of those 65 … declare no permanent structure</w:t>
      </w:r>
      <w:r>
        <w:t xml:space="preserve">”</w:t>
      </w:r>
      <w:r>
        <w:t xml:space="preserve">);</w:t>
      </w:r>
    </w:p>
    <w:p>
      <w:pPr>
        <w:numPr>
          <w:ilvl w:val="1"/>
          <w:numId w:val="1009"/>
        </w:numPr>
        <w:pStyle w:val="Compact"/>
      </w:pPr>
      <w:r>
        <w:t xml:space="preserve">5.7;</w:t>
      </w:r>
    </w:p>
    <w:p>
      <w:pPr>
        <w:numPr>
          <w:ilvl w:val="1"/>
          <w:numId w:val="1009"/>
        </w:numPr>
        <w:pStyle w:val="Compact"/>
      </w:pPr>
      <w:r>
        <w:t xml:space="preserve">Cap. 6, 3.º parágrafo.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Por que não mexi:</w:t>
      </w:r>
      <w:r>
        <w:t xml:space="preserve"> </w:t>
      </w:r>
      <w:r>
        <w:t xml:space="preserve">sem a recontagem por registro de centro, tirar essas frases deixa o 3.4.5 e a escolha do centro-alvo sem base. Quando você mandar o CSV, refaço o 3.4.4/3.4.5 com a recontagem e retiro todas as menções de uma vez.</w:t>
      </w:r>
    </w:p>
    <w:p>
      <w:pPr>
        <w:pStyle w:val="FirstParagraph"/>
      </w:pPr>
      <w:r>
        <w:rPr>
          <w:bCs/>
          <w:b/>
        </w:rPr>
        <w:t xml:space="preserve">Decisão 3. Onde o centro registra os fatores de cada ensaio.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Problema:</w:t>
      </w:r>
      <w:r>
        <w:t xml:space="preserve"> </w:t>
      </w:r>
      <w:r>
        <w:t xml:space="preserve">a 2.4.1 e o 3.3 agora dizem que o centro identifica os fatores de cada ensaio dentro dos domínios. Coloquei esse passo no registro de riscos (SRR, 4.3.1).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Opções:</w:t>
      </w:r>
    </w:p>
    <w:p>
      <w:pPr>
        <w:numPr>
          <w:ilvl w:val="1"/>
          <w:numId w:val="1011"/>
        </w:numPr>
        <w:pStyle w:val="Compact"/>
      </w:pPr>
    </w:p>
    <w:p>
      <w:pPr>
        <w:numPr>
          <w:ilvl w:val="2"/>
          <w:numId w:val="1012"/>
        </w:numPr>
        <w:pStyle w:val="Compact"/>
      </w:pPr>
      <w:r>
        <w:t xml:space="preserve">manter no SRR: só muda a coluna Inputs da Tabela 4.3 e o template do Apêndice H, e o conjunto continua com 24;</w:t>
      </w:r>
    </w:p>
    <w:p>
      <w:pPr>
        <w:numPr>
          <w:ilvl w:val="1"/>
          <w:numId w:val="1011"/>
        </w:numPr>
        <w:pStyle w:val="Compact"/>
      </w:pPr>
    </w:p>
    <w:p>
      <w:pPr>
        <w:numPr>
          <w:ilvl w:val="2"/>
          <w:numId w:val="1013"/>
        </w:numPr>
        <w:pStyle w:val="Compact"/>
      </w:pPr>
      <w:r>
        <w:t xml:space="preserve">criar um instrumento próprio (</w:t>
      </w:r>
      <w:r>
        <w:t xml:space="preserve">“</w:t>
      </w:r>
      <w:r>
        <w:t xml:space="preserve">Site CtQ Translation Sheet</w:t>
      </w:r>
      <w:r>
        <w:t xml:space="preserve">”</w:t>
      </w:r>
      <w:r>
        <w:t xml:space="preserve">), com o que o conjunto passa a 25 e mudam Resumo, Abstract, Figuras 4.2 a 4.5 e Conclusão.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Recomendação:</w:t>
      </w:r>
      <w:r>
        <w:t xml:space="preserve"> </w:t>
      </w:r>
      <w:r>
        <w:t xml:space="preserve">(a).</w:t>
      </w:r>
    </w:p>
    <w:p>
      <w:pPr>
        <w:pStyle w:val="FirstParagraph"/>
      </w:pPr>
      <w:r>
        <w:rPr>
          <w:bCs/>
          <w:b/>
        </w:rPr>
        <w:t xml:space="preserve">Decisão 4. Registro de desvios (M3) e o núcleo do Tipo C.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Problema:</w:t>
      </w:r>
      <w:r>
        <w:t xml:space="preserve"> </w:t>
      </w:r>
      <w:r>
        <w:t xml:space="preserve">não há registro de desvios entre os 24 instrumentos, mas o núcleo do Tipo C (4.7.1) cita</w:t>
      </w:r>
      <w:r>
        <w:t xml:space="preserve"> </w:t>
      </w:r>
      <w:r>
        <w:t xml:space="preserve">“</w:t>
      </w:r>
      <w:r>
        <w:t xml:space="preserve">a PD record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a device accountability record</w:t>
      </w:r>
      <w:r>
        <w:t xml:space="preserve">”</w:t>
      </w:r>
      <w:r>
        <w:t xml:space="preserve">, e a 4.5.2 calcula a taxa de desvios sem dizer de onde vêm os dados.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Opções:</w:t>
      </w:r>
    </w:p>
    <w:p>
      <w:pPr>
        <w:numPr>
          <w:ilvl w:val="1"/>
          <w:numId w:val="1015"/>
        </w:numPr>
        <w:pStyle w:val="Compact"/>
      </w:pPr>
    </w:p>
    <w:p>
      <w:pPr>
        <w:numPr>
          <w:ilvl w:val="2"/>
          <w:numId w:val="1016"/>
        </w:numPr>
        <w:pStyle w:val="Compact"/>
      </w:pPr>
      <w:r>
        <w:t xml:space="preserve">declarar que o registro de desvios é o que o investigador já mantém pelo CIP (MDR Anexo XV, Cap. II, 3.10; E6(R3) 2.5.3) e que o PIR o lê;</w:t>
      </w:r>
    </w:p>
    <w:p>
      <w:pPr>
        <w:numPr>
          <w:ilvl w:val="1"/>
          <w:numId w:val="1015"/>
        </w:numPr>
        <w:pStyle w:val="Compact"/>
      </w:pPr>
    </w:p>
    <w:p>
      <w:pPr>
        <w:numPr>
          <w:ilvl w:val="2"/>
          <w:numId w:val="1017"/>
        </w:numPr>
        <w:pStyle w:val="Compact"/>
      </w:pPr>
      <w:r>
        <w:t xml:space="preserve">criar um</w:t>
      </w:r>
      <w:r>
        <w:t xml:space="preserve"> </w:t>
      </w:r>
      <w:r>
        <w:t xml:space="preserve">“</w:t>
      </w:r>
      <w:r>
        <w:t xml:space="preserve">Deviation and Improvement Log</w:t>
      </w:r>
      <w:r>
        <w:t xml:space="preserve">”</w:t>
      </w:r>
      <w:r>
        <w:t xml:space="preserve">;</w:t>
      </w:r>
    </w:p>
    <w:p>
      <w:pPr>
        <w:numPr>
          <w:ilvl w:val="1"/>
          <w:numId w:val="1015"/>
        </w:numPr>
        <w:pStyle w:val="Compact"/>
      </w:pPr>
    </w:p>
    <w:p>
      <w:pPr>
        <w:numPr>
          <w:ilvl w:val="2"/>
          <w:numId w:val="1018"/>
        </w:numPr>
        <w:pStyle w:val="Compact"/>
      </w:pPr>
      <w:r>
        <w:t xml:space="preserve">absorver no CAPA.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Recomendação:</w:t>
      </w:r>
      <w:r>
        <w:t xml:space="preserve"> </w:t>
      </w:r>
      <w:r>
        <w:t xml:space="preserve">(a). Ela não aumenta o conjunto e é coerente com a regra de não criar registro paralelo. Eu trocaria também</w:t>
      </w:r>
      <w:r>
        <w:t xml:space="preserve"> </w:t>
      </w:r>
      <w:r>
        <w:t xml:space="preserve">“</w:t>
      </w:r>
      <w:r>
        <w:t xml:space="preserve">a device accountability record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the device accountability record required by ISO 14155:2026 Clause 7.9, with the ICDL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Decisão 5. Coluna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obrigação de origem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na Tabela 4.3 (antiga 4.4) (A4).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Problema:</w:t>
      </w:r>
      <w:r>
        <w:t xml:space="preserve"> </w:t>
      </w:r>
      <w:r>
        <w:t xml:space="preserve">para a maioria dos instrumentos existe uma obrigação de base que não aparece na tabela: CCDM/RACI na delegação (ISO 10.1/7.6), TRE/DTRM no treino (7.6, MDR Anexo XV Cap. I 2.7), ICDL na</w:t>
      </w:r>
      <w:r>
        <w:t xml:space="preserve"> </w:t>
      </w:r>
      <w:r>
        <w:rPr>
          <w:iCs/>
          <w:i/>
        </w:rPr>
        <w:t xml:space="preserve">accountability</w:t>
      </w:r>
      <w:r>
        <w:t xml:space="preserve"> </w:t>
      </w:r>
      <w:r>
        <w:t xml:space="preserve">(7.9), SART na segurança (10.8), PSEAR na elegibilidade, PFVR na conformidade com o CIP.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Opções:</w:t>
      </w:r>
      <w:r>
        <w:t xml:space="preserve"> </w:t>
      </w:r>
      <w:r>
        <w:t xml:space="preserve">(a) acrescentar a coluna</w:t>
      </w:r>
      <w:r>
        <w:t xml:space="preserve"> </w:t>
      </w:r>
      <w:r>
        <w:t xml:space="preserve">“</w:t>
      </w:r>
      <w:r>
        <w:t xml:space="preserve">Underlying obligation (clause)</w:t>
      </w:r>
      <w:r>
        <w:t xml:space="preserve">”</w:t>
      </w:r>
      <w:r>
        <w:t xml:space="preserve">, com</w:t>
      </w:r>
      <w:r>
        <w:t xml:space="preserve"> </w:t>
      </w:r>
      <w:r>
        <w:t xml:space="preserve">“</w:t>
      </w:r>
      <w:r>
        <w:t xml:space="preserve">None: framework proposal (Gap n)</w:t>
      </w:r>
      <w:r>
        <w:t xml:space="preserve">”</w:t>
      </w:r>
      <w:r>
        <w:t xml:space="preserve"> </w:t>
      </w:r>
      <w:r>
        <w:t xml:space="preserve">para os que não têm; (b) não mexer.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Recomendação:</w:t>
      </w:r>
      <w:r>
        <w:t xml:space="preserve"> </w:t>
      </w:r>
      <w:r>
        <w:t xml:space="preserve">(a). Mostra de imediato que a maior parte dos 24 organiza deveres que já existem.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Muda:</w:t>
      </w:r>
      <w:r>
        <w:t xml:space="preserve"> </w:t>
      </w:r>
      <w:r>
        <w:t xml:space="preserve">só a imagem.</w:t>
      </w:r>
    </w:p>
    <w:p>
      <w:pPr>
        <w:pStyle w:val="FirstParagraph"/>
      </w:pPr>
      <w:r>
        <w:rPr>
          <w:bCs/>
          <w:b/>
        </w:rPr>
        <w:t xml:space="preserve">Decisão 6. Nomes IMP e IMC 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internal monitoring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(M8).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Problema:</w:t>
      </w:r>
      <w:r>
        <w:t xml:space="preserve"> </w:t>
      </w:r>
      <w:r>
        <w:t xml:space="preserve">monitoria é atividade do patrocinador. A 4.4.1 explica a diferença, mas os nomes IMP e IMC, a lacuna 4 (</w:t>
      </w:r>
      <w:r>
        <w:t xml:space="preserve">“</w:t>
      </w:r>
      <w:r>
        <w:t xml:space="preserve">site-initiated monitoring function</w:t>
      </w:r>
      <w:r>
        <w:t xml:space="preserve">”</w:t>
      </w:r>
      <w:r>
        <w:t xml:space="preserve">), o Abstract (</w:t>
      </w:r>
      <w:r>
        <w:t xml:space="preserve">“</w:t>
      </w:r>
      <w:r>
        <w:t xml:space="preserve">internal monitoring</w:t>
      </w:r>
      <w:r>
        <w:t xml:space="preserve">”</w:t>
      </w:r>
      <w:r>
        <w:t xml:space="preserve">) e o Resumo (</w:t>
      </w:r>
      <w:r>
        <w:t xml:space="preserve">“</w:t>
      </w:r>
      <w:r>
        <w:t xml:space="preserve">monitorização interna</w:t>
      </w:r>
      <w:r>
        <w:t xml:space="preserve">”</w:t>
      </w:r>
      <w:r>
        <w:t xml:space="preserve">) mantêm a palavra.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Opções:</w:t>
      </w:r>
    </w:p>
    <w:p>
      <w:pPr>
        <w:numPr>
          <w:ilvl w:val="1"/>
          <w:numId w:val="1021"/>
        </w:numPr>
        <w:pStyle w:val="Compact"/>
      </w:pPr>
    </w:p>
    <w:p>
      <w:pPr>
        <w:numPr>
          <w:ilvl w:val="2"/>
          <w:numId w:val="1022"/>
        </w:numPr>
        <w:pStyle w:val="Compact"/>
      </w:pPr>
      <w:r>
        <w:t xml:space="preserve">renomear para</w:t>
      </w:r>
      <w:r>
        <w:t xml:space="preserve"> </w:t>
      </w:r>
      <w:r>
        <w:t xml:space="preserve">“</w:t>
      </w:r>
      <w:r>
        <w:t xml:space="preserve">Internal Quality Review Plan/Checklist</w:t>
      </w:r>
      <w:r>
        <w:t xml:space="preserve">”</w:t>
      </w:r>
      <w:r>
        <w:t xml:space="preserve">, o que muda as Figuras 4.2 a 4.5, as abreviaturas e o texto;</w:t>
      </w:r>
    </w:p>
    <w:p>
      <w:pPr>
        <w:numPr>
          <w:ilvl w:val="1"/>
          <w:numId w:val="1021"/>
        </w:numPr>
        <w:pStyle w:val="Compact"/>
      </w:pPr>
    </w:p>
    <w:p>
      <w:pPr>
        <w:numPr>
          <w:ilvl w:val="2"/>
          <w:numId w:val="1023"/>
        </w:numPr>
        <w:pStyle w:val="Compact"/>
      </w:pPr>
      <w:r>
        <w:t xml:space="preserve">manter e trocar só</w:t>
      </w:r>
      <w:r>
        <w:t xml:space="preserve"> </w:t>
      </w:r>
      <w:r>
        <w:t xml:space="preserve">“</w:t>
      </w:r>
      <w:r>
        <w:t xml:space="preserve">internal monitoring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internal verification</w:t>
      </w:r>
      <w:r>
        <w:t xml:space="preserve">”</w:t>
      </w:r>
      <w:r>
        <w:t xml:space="preserve"> </w:t>
      </w:r>
      <w:r>
        <w:t xml:space="preserve">no Abstract, no Resumo e na lacuna 4.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Recomendação:</w:t>
      </w:r>
      <w:r>
        <w:t xml:space="preserve"> </w:t>
      </w:r>
      <w:r>
        <w:t xml:space="preserve">(b).</w:t>
      </w:r>
    </w:p>
    <w:p>
      <w:pPr>
        <w:pStyle w:val="FirstParagraph"/>
      </w:pPr>
      <w:r>
        <w:rPr>
          <w:bCs/>
          <w:b/>
        </w:rPr>
        <w:t xml:space="preserve">Decisão 7. Consentimento como controle (M2).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Problema:</w:t>
      </w:r>
      <w:r>
        <w:t xml:space="preserve"> </w:t>
      </w:r>
      <w:r>
        <w:t xml:space="preserve">o domínio 3 só tem o PSEAR como instrumento primário (Figura 4.4). Nenhum dos nove checks do IMC trata do consentimento, e nenhum indicador o mede.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Opções:</w:t>
      </w:r>
    </w:p>
    <w:p>
      <w:pPr>
        <w:numPr>
          <w:ilvl w:val="1"/>
          <w:numId w:val="1025"/>
        </w:numPr>
        <w:pStyle w:val="Compact"/>
      </w:pPr>
    </w:p>
    <w:p>
      <w:pPr>
        <w:numPr>
          <w:ilvl w:val="2"/>
          <w:numId w:val="1026"/>
        </w:numPr>
        <w:pStyle w:val="Compact"/>
      </w:pPr>
      <w:r>
        <w:t xml:space="preserve">acrescentar um décimo check ao IMC (versão do termo, assinaturas e data antes de qualquer procedimento, reconsentimento) e um bloco de consentimento no PSEAR, com a regra de intensidade: identidade do implante e consentimento verificados em 100% dos casos, dados administrativos por amostra (B2);</w:t>
      </w:r>
    </w:p>
    <w:p>
      <w:pPr>
        <w:numPr>
          <w:ilvl w:val="1"/>
          <w:numId w:val="1025"/>
        </w:numPr>
        <w:pStyle w:val="Compact"/>
      </w:pPr>
    </w:p>
    <w:p>
      <w:pPr>
        <w:numPr>
          <w:ilvl w:val="2"/>
          <w:numId w:val="1027"/>
        </w:numPr>
        <w:pStyle w:val="Compact"/>
      </w:pPr>
      <w:r>
        <w:t xml:space="preserve">deixar como está e dizer na 4.5 por que consentimento e rastreabilidade não têm indicador (uma falha isolada já dispara ação).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Recomendação:</w:t>
      </w:r>
      <w:r>
        <w:t xml:space="preserve"> </w:t>
      </w:r>
      <w:r>
        <w:t xml:space="preserve">(a) e a frase de (b).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Muda:</w:t>
      </w:r>
      <w:r>
        <w:t xml:space="preserve"> </w:t>
      </w:r>
      <w:r>
        <w:t xml:space="preserve">“</w:t>
      </w:r>
      <w:r>
        <w:t xml:space="preserve">nine checks</w:t>
      </w:r>
      <w:r>
        <w:t xml:space="preserve">”</w:t>
      </w:r>
      <w:r>
        <w:t xml:space="preserve"> </w:t>
      </w:r>
      <w:r>
        <w:t xml:space="preserve">na 4.4.1 e na 4.5.</w:t>
      </w:r>
    </w:p>
    <w:p>
      <w:pPr>
        <w:pStyle w:val="FirstParagraph"/>
      </w:pPr>
      <w:r>
        <w:rPr>
          <w:bCs/>
          <w:b/>
        </w:rPr>
        <w:t xml:space="preserve">Decisão 8. Prontidão do centro (M6).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Problema:</w:t>
      </w:r>
      <w:r>
        <w:t xml:space="preserve"> </w:t>
      </w:r>
      <w:r>
        <w:t xml:space="preserve">o SIRR cobre só imagem. O domínio 1 (capacidade) não tem instrumento de prontidão.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Opções:</w:t>
      </w:r>
      <w:r>
        <w:t xml:space="preserve"> </w:t>
      </w:r>
      <w:r>
        <w:t xml:space="preserve">(a) ampliar o SIRR para</w:t>
      </w:r>
      <w:r>
        <w:t xml:space="preserve"> </w:t>
      </w:r>
      <w:r>
        <w:t xml:space="preserve">“</w:t>
      </w:r>
      <w:r>
        <w:t xml:space="preserve">Site Readiness Record</w:t>
      </w:r>
      <w:r>
        <w:t xml:space="preserve">”</w:t>
      </w:r>
      <w:r>
        <w:t xml:space="preserve">, com imagem como uma seção (capacidade cirúrgica, equipe,</w:t>
      </w:r>
      <w:r>
        <w:t xml:space="preserve"> </w:t>
      </w:r>
      <w:r>
        <w:rPr>
          <w:iCs/>
          <w:i/>
        </w:rPr>
        <w:t xml:space="preserve">referral base</w:t>
      </w:r>
      <w:r>
        <w:t xml:space="preserve">, reabilitação, seguimento); (b) fazer o MRL de ativação cobrir isso.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Recomendação:</w:t>
      </w:r>
      <w:r>
        <w:t xml:space="preserve"> </w:t>
      </w:r>
      <w:r>
        <w:t xml:space="preserve">(a). O MDIC lista exatamente esses itens.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Muda:</w:t>
      </w:r>
      <w:r>
        <w:t xml:space="preserve"> </w:t>
      </w:r>
      <w:r>
        <w:t xml:space="preserve">o nome do instrumento nas figuras.</w:t>
      </w:r>
    </w:p>
    <w:p>
      <w:pPr>
        <w:pStyle w:val="FirstParagraph"/>
      </w:pPr>
      <w:r>
        <w:rPr>
          <w:bCs/>
          <w:b/>
        </w:rPr>
        <w:t xml:space="preserve">Decisão 9. Tabela patrocinador × centro, figura de fluxo e critério de escalonamento (M11).</w:t>
      </w:r>
    </w:p>
    <w:p>
      <w:pPr>
        <w:numPr>
          <w:ilvl w:val="0"/>
          <w:numId w:val="1029"/>
        </w:numPr>
        <w:pStyle w:val="Compact"/>
      </w:pPr>
      <w:r>
        <w:rPr>
          <w:iCs/>
          <w:i/>
        </w:rPr>
        <w:t xml:space="preserve">Problema:</w:t>
      </w:r>
      <w:r>
        <w:t xml:space="preserve"> </w:t>
      </w:r>
      <w:r>
        <w:t xml:space="preserve">a 5.4 nomeia três interfaces, mas não existe um critério único de quando o centro escala ao patrocinador.</w:t>
      </w:r>
    </w:p>
    <w:p>
      <w:pPr>
        <w:numPr>
          <w:ilvl w:val="0"/>
          <w:numId w:val="1029"/>
        </w:numPr>
        <w:pStyle w:val="Compact"/>
      </w:pPr>
      <w:r>
        <w:rPr>
          <w:iCs/>
          <w:i/>
        </w:rPr>
        <w:t xml:space="preserve">Opções:</w:t>
      </w:r>
      <w:r>
        <w:t xml:space="preserve"> </w:t>
      </w:r>
      <w:r>
        <w:t xml:space="preserve">(a) tabela curta no início do Cap. 4 ou na 5.4 (QRM do patrocinador × qualidade operacional do centro) mais o critério</w:t>
      </w:r>
      <w:r>
        <w:t xml:space="preserve"> </w:t>
      </w:r>
      <w:r>
        <w:t xml:space="preserve">“</w:t>
      </w:r>
      <w:r>
        <w:t xml:space="preserve">potential effect on a trial-level CtQ factor or on participant safety beyond the single case</w:t>
      </w:r>
      <w:r>
        <w:t xml:space="preserve">”</w:t>
      </w:r>
      <w:r>
        <w:t xml:space="preserve">; (b) só o critério, numa frase.</w:t>
      </w:r>
    </w:p>
    <w:p>
      <w:pPr>
        <w:numPr>
          <w:ilvl w:val="0"/>
          <w:numId w:val="1029"/>
        </w:numPr>
        <w:pStyle w:val="Compact"/>
      </w:pPr>
      <w:r>
        <w:rPr>
          <w:iCs/>
          <w:i/>
        </w:rPr>
        <w:t xml:space="preserve">Recomendação:</w:t>
      </w:r>
      <w:r>
        <w:t xml:space="preserve"> </w:t>
      </w:r>
      <w:r>
        <w:t xml:space="preserve">(b) agora e (a) se houver tempo.</w:t>
      </w:r>
    </w:p>
    <w:p>
      <w:pPr>
        <w:pStyle w:val="FirstParagraph"/>
      </w:pPr>
      <w:r>
        <w:rPr>
          <w:bCs/>
          <w:b/>
        </w:rPr>
        <w:t xml:space="preserve">Decisão 10. Núcleo e módulos (M12) e apêndices vazios.</w:t>
      </w:r>
    </w:p>
    <w:p>
      <w:pPr>
        <w:numPr>
          <w:ilvl w:val="0"/>
          <w:numId w:val="1030"/>
        </w:numPr>
        <w:pStyle w:val="Compact"/>
      </w:pPr>
      <w:r>
        <w:rPr>
          <w:iCs/>
          <w:i/>
        </w:rPr>
        <w:t xml:space="preserve">Problema:</w:t>
      </w:r>
      <w:r>
        <w:t xml:space="preserve"> </w:t>
      </w:r>
      <w:r>
        <w:t xml:space="preserve">a 4.8 diz</w:t>
      </w:r>
      <w:r>
        <w:t xml:space="preserve"> </w:t>
      </w:r>
      <w:r>
        <w:t xml:space="preserve">“</w:t>
      </w:r>
      <w:r>
        <w:t xml:space="preserve">Draft templates for all twenty-four instruments are provided in Appendices A through X</w:t>
      </w:r>
      <w:r>
        <w:t xml:space="preserve">”</w:t>
      </w:r>
      <w:r>
        <w:t xml:space="preserve">, e os apêndices estão todos como</w:t>
      </w:r>
      <w:r>
        <w:t xml:space="preserve"> </w:t>
      </w:r>
      <w:r>
        <w:t xml:space="preserve">“</w:t>
      </w:r>
      <w:r>
        <w:t xml:space="preserve">[Template pending]</w:t>
      </w:r>
      <w:r>
        <w:t xml:space="preserve">”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iCs/>
          <w:i/>
        </w:rPr>
        <w:t xml:space="preserve">Opções:</w:t>
      </w:r>
      <w:r>
        <w:t xml:space="preserve"> </w:t>
      </w:r>
      <w:r>
        <w:t xml:space="preserve">(a) preencher os templates; (b) trocar a frase da 4.8 para dizer que os apêndices trazem a estrutura de campos.</w:t>
      </w:r>
    </w:p>
    <w:p>
      <w:pPr>
        <w:numPr>
          <w:ilvl w:val="0"/>
          <w:numId w:val="1030"/>
        </w:numPr>
        <w:pStyle w:val="Compact"/>
      </w:pPr>
      <w:r>
        <w:rPr>
          <w:iCs/>
          <w:i/>
        </w:rPr>
        <w:t xml:space="preserve">Recomendação:</w:t>
      </w:r>
      <w:r>
        <w:t xml:space="preserve"> </w:t>
      </w:r>
      <w:r>
        <w:t xml:space="preserve">declarar no Cap. 4 um núcleo de instrumentos coerente com o Tipo C e apresentar os outros como módulos ativados por risco.</w:t>
      </w:r>
    </w:p>
    <w:p>
      <w:pPr>
        <w:numPr>
          <w:ilvl w:val="0"/>
          <w:numId w:val="1030"/>
        </w:numPr>
        <w:pStyle w:val="Compact"/>
      </w:pPr>
      <w:r>
        <w:rPr>
          <w:iCs/>
          <w:i/>
        </w:rPr>
        <w:t xml:space="preserve">Por que é decisão sua:</w:t>
      </w:r>
      <w:r>
        <w:t xml:space="preserve"> </w:t>
      </w:r>
      <w:r>
        <w:t xml:space="preserve">é o maior risco prático da entrega, e só você sabe quanto tempo há para os templates.</w:t>
      </w:r>
    </w:p>
    <w:p>
      <w:pPr>
        <w:pStyle w:val="FirstParagraph"/>
      </w:pPr>
      <w:r>
        <w:rPr>
          <w:bCs/>
          <w:b/>
        </w:rPr>
        <w:t xml:space="preserve">Decisão 11. Bloco sobre adoção e barreiras na 5.5 (M9).</w:t>
      </w:r>
    </w:p>
    <w:p>
      <w:pPr>
        <w:numPr>
          <w:ilvl w:val="0"/>
          <w:numId w:val="1031"/>
        </w:numPr>
        <w:pStyle w:val="Compact"/>
      </w:pPr>
      <w:r>
        <w:rPr>
          <w:iCs/>
          <w:i/>
        </w:rPr>
        <w:t xml:space="preserve">Proposta:</w:t>
      </w:r>
      <w:r>
        <w:t xml:space="preserve"> </w:t>
      </w:r>
      <w:r>
        <w:t xml:space="preserve">a das Propostas 4.2. Conferi no PubMed o resumo de Dirks et al. 2024 (</w:t>
      </w:r>
      <w:r>
        <w:rPr>
          <w:iCs/>
          <w:i/>
        </w:rPr>
        <w:t xml:space="preserve">Ther Innov Regul Sci</w:t>
      </w:r>
      <w:r>
        <w:t xml:space="preserve"> </w:t>
      </w:r>
      <w:r>
        <w:t xml:space="preserve">58(3):520–527, doi 10.1007/s43441-024-00618-5): 206 respostas; RBQM em 57% dos ensaios em média; 48% em empresas com menos de 25 ensaios por ano contra 63% nas com mais de 100; barreiras principais: falta de conhecimento e consciência organizacional, percepções mistas sobre o valor e má gestão da mudança.</w:t>
      </w:r>
    </w:p>
    <w:p>
      <w:pPr>
        <w:numPr>
          <w:ilvl w:val="0"/>
          <w:numId w:val="1031"/>
        </w:numPr>
        <w:pStyle w:val="Compact"/>
      </w:pPr>
      <w:r>
        <w:rPr>
          <w:iCs/>
          <w:i/>
        </w:rPr>
        <w:t xml:space="preserve">Ajuste necessário:</w:t>
      </w:r>
      <w:r>
        <w:t xml:space="preserve"> </w:t>
      </w:r>
      <w:r>
        <w:t xml:space="preserve">“</w:t>
      </w:r>
      <w:r>
        <w:t xml:space="preserve">about 125 organizations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time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skills</w:t>
      </w:r>
      <w:r>
        <w:t xml:space="preserve">”</w:t>
      </w:r>
      <w:r>
        <w:t xml:space="preserve"> </w:t>
      </w:r>
      <w:r>
        <w:t xml:space="preserve">não estão no resumo; confira no artigo completo antes de usar o texto das Propostas.</w:t>
      </w:r>
    </w:p>
    <w:p>
      <w:pPr>
        <w:numPr>
          <w:ilvl w:val="0"/>
          <w:numId w:val="1031"/>
        </w:numPr>
        <w:pStyle w:val="Compact"/>
      </w:pPr>
      <w:r>
        <w:rPr>
          <w:iCs/>
          <w:i/>
        </w:rPr>
        <w:t xml:space="preserve">Por que é decisão sua:</w:t>
      </w:r>
      <w:r>
        <w:t xml:space="preserve"> </w:t>
      </w:r>
      <w:r>
        <w:t xml:space="preserve">a referência é nova e entra no meio da lista, o que obriga a renumerar as referências seguintes.</w:t>
      </w:r>
    </w:p>
    <w:p>
      <w:pPr>
        <w:numPr>
          <w:ilvl w:val="0"/>
          <w:numId w:val="1031"/>
        </w:numPr>
        <w:pStyle w:val="Compact"/>
      </w:pPr>
      <w:r>
        <w:rPr>
          <w:iCs/>
          <w:i/>
        </w:rPr>
        <w:t xml:space="preserve">Recomendação:</w:t>
      </w:r>
      <w:r>
        <w:t xml:space="preserve"> </w:t>
      </w:r>
      <w:r>
        <w:t xml:space="preserve">incluir.</w:t>
      </w:r>
    </w:p>
    <w:p>
      <w:pPr>
        <w:pStyle w:val="FirstParagraph"/>
      </w:pPr>
      <w:r>
        <w:rPr>
          <w:bCs/>
          <w:b/>
        </w:rPr>
        <w:t xml:space="preserve">Decisão 12. Planilha de derivação como apêndice.</w:t>
      </w:r>
    </w:p>
    <w:p>
      <w:pPr>
        <w:numPr>
          <w:ilvl w:val="0"/>
          <w:numId w:val="1032"/>
        </w:numPr>
        <w:pStyle w:val="Compact"/>
      </w:pPr>
      <w:r>
        <w:rPr>
          <w:iCs/>
          <w:i/>
        </w:rPr>
        <w:t xml:space="preserve">Problema:</w:t>
      </w:r>
      <w:r>
        <w:t xml:space="preserve"> </w:t>
      </w:r>
      <w:r>
        <w:t xml:space="preserve">o 3.2 e o 3.3 agora citam números da planilha (251 trechos, 43 temas, 15 removidos, 22 requisitos, 6 controles).</w:t>
      </w:r>
    </w:p>
    <w:p>
      <w:pPr>
        <w:numPr>
          <w:ilvl w:val="0"/>
          <w:numId w:val="1032"/>
        </w:numPr>
        <w:pStyle w:val="Compact"/>
      </w:pPr>
      <w:r>
        <w:rPr>
          <w:iCs/>
          <w:i/>
        </w:rPr>
        <w:t xml:space="preserve">Opções:</w:t>
      </w:r>
      <w:r>
        <w:t xml:space="preserve"> </w:t>
      </w:r>
      <w:r>
        <w:t xml:space="preserve">(a) apêndice com a Matriz e os Filtros (sem os trechos literais da ISO, por causa da licença); (b)</w:t>
      </w:r>
      <w:r>
        <w:t xml:space="preserve"> </w:t>
      </w:r>
      <w:r>
        <w:t xml:space="preserve">“</w:t>
      </w:r>
      <w:r>
        <w:t xml:space="preserve">material suplementar disponível com o autor</w:t>
      </w:r>
      <w:r>
        <w:t xml:space="preserve">”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iCs/>
          <w:i/>
        </w:rPr>
        <w:t xml:space="preserve">Recomendação:</w:t>
      </w:r>
      <w:r>
        <w:t xml:space="preserve"> </w:t>
      </w:r>
      <w:r>
        <w:t xml:space="preserve">(a), resumido.</w:t>
      </w:r>
    </w:p>
    <w:p>
      <w:pPr>
        <w:pStyle w:val="FirstParagraph"/>
      </w:pPr>
      <w:r>
        <w:rPr>
          <w:bCs/>
          <w:b/>
        </w:rPr>
        <w:t xml:space="preserve">Decisão 13. Indicador de imagem (M7c).</w:t>
      </w:r>
      <w:r>
        <w:t xml:space="preserve"> </w:t>
      </w:r>
      <w:r>
        <w:t xml:space="preserve">Nenhum dos seis indicadores mede imagem, apesar do peso do DR7 e do domínio 9. Opção:</w:t>
      </w:r>
      <w:r>
        <w:t xml:space="preserve"> </w:t>
      </w:r>
      <w:r>
        <w:t xml:space="preserve">“</w:t>
      </w:r>
      <w:r>
        <w:t xml:space="preserve">completude na primeira aquisição</w:t>
      </w:r>
      <w:r>
        <w:t xml:space="preserve">”</w:t>
      </w:r>
      <w:r>
        <w:t xml:space="preserve">, lido do IQL. Muda</w:t>
      </w:r>
      <w:r>
        <w:t xml:space="preserve"> </w:t>
      </w:r>
      <w:r>
        <w:t xml:space="preserve">“</w:t>
      </w:r>
      <w:r>
        <w:t xml:space="preserve">six indicators</w:t>
      </w:r>
      <w:r>
        <w:t xml:space="preserve">”</w:t>
      </w:r>
      <w:r>
        <w:t xml:space="preserve"> </w:t>
      </w:r>
      <w:r>
        <w:t xml:space="preserve">em vários lugares.</w:t>
      </w:r>
      <w:r>
        <w:t xml:space="preserve"> </w:t>
      </w:r>
      <w:r>
        <w:rPr>
          <w:iCs/>
          <w:i/>
        </w:rPr>
        <w:t xml:space="preserve">Recomendação:</w:t>
      </w:r>
      <w:r>
        <w:t xml:space="preserve"> </w:t>
      </w:r>
      <w:r>
        <w:t xml:space="preserve">registrar como desenvolvimento futuro na 5.7, sem mudar o conjunto agora.</w:t>
      </w:r>
    </w:p>
    <w:p>
      <w:pPr>
        <w:pStyle w:val="BodyText"/>
      </w:pPr>
      <w:r>
        <w:rPr>
          <w:bCs/>
          <w:b/>
        </w:rPr>
        <w:t xml:space="preserve">Decisão 14. Versões da E6(R3) (B1).</w:t>
      </w:r>
      <w:r>
        <w:t xml:space="preserve"> </w:t>
      </w:r>
      <w:r>
        <w:t xml:space="preserve">A EMA confirma:</w:t>
      </w:r>
    </w:p>
    <w:p>
      <w:pPr>
        <w:numPr>
          <w:ilvl w:val="0"/>
          <w:numId w:val="1033"/>
        </w:numPr>
        <w:pStyle w:val="Compact"/>
      </w:pPr>
      <w:r>
        <w:t xml:space="preserve">Princípios e Anexo 1 publicados em 27/01/2025 e em vigor na UE desde 23/07/2025;</w:t>
      </w:r>
    </w:p>
    <w:p>
      <w:pPr>
        <w:numPr>
          <w:ilvl w:val="0"/>
          <w:numId w:val="1033"/>
        </w:numPr>
        <w:pStyle w:val="Compact"/>
      </w:pPr>
      <w:r>
        <w:t xml:space="preserve">Anexo 2 adotado pelo ICH em 03/06/2026 e em vigor na UE a partir de 15/01/2027.</w:t>
      </w:r>
    </w:p>
    <w:p>
      <w:pPr>
        <w:pStyle w:val="FirstParagraph"/>
      </w:pPr>
      <w:r>
        <w:t xml:space="preserve">Uma frase na 1.1 ou na 2.2.1 resolveria.</w:t>
      </w:r>
      <w:r>
        <w:t xml:space="preserve"> </w:t>
      </w:r>
      <w:r>
        <w:rPr>
          <w:iCs/>
          <w:i/>
        </w:rPr>
        <w:t xml:space="preserve">Por que é decisão sua:</w:t>
      </w:r>
      <w:r>
        <w:t xml:space="preserve"> </w:t>
      </w:r>
      <w:r>
        <w:t xml:space="preserve">precisa citar a página da EMA, que é uma referência nova.</w:t>
      </w:r>
    </w:p>
    <w:p>
      <w:pPr>
        <w:pStyle w:val="BodyText"/>
      </w:pPr>
      <w:r>
        <w:rPr>
          <w:bCs/>
          <w:b/>
        </w:rPr>
        <w:t xml:space="preserve">Decisão 15. ISO/TR 24971:2020.</w:t>
      </w:r>
      <w:r>
        <w:t xml:space="preserve"> </w:t>
      </w:r>
      <w:r>
        <w:t xml:space="preserve">É citado na 2.2.1 e não está na lista de referências.</w:t>
      </w:r>
      <w:r>
        <w:t xml:space="preserve"> </w:t>
      </w:r>
      <w:r>
        <w:rPr>
          <w:iCs/>
          <w:i/>
        </w:rPr>
        <w:t xml:space="preserve">Opções:</w:t>
      </w:r>
      <w:r>
        <w:t xml:space="preserve"> </w:t>
      </w:r>
      <w:r>
        <w:t xml:space="preserve">(a) incluir na lista, o que renumera as seguintes; (b) tirar da 2.2.1.</w:t>
      </w:r>
      <w:r>
        <w:t xml:space="preserve"> </w:t>
      </w:r>
      <w:r>
        <w:rPr>
          <w:iCs/>
          <w:i/>
        </w:rPr>
        <w:t xml:space="preserve">Recomendação:</w:t>
      </w:r>
      <w:r>
        <w:t xml:space="preserve"> </w:t>
      </w:r>
      <w:r>
        <w:t xml:space="preserve">(b), porque a tese não usa o 24971 em nenhum outro lugar.</w:t>
      </w:r>
    </w:p>
    <w:p>
      <w:pPr>
        <w:pStyle w:val="BodyText"/>
      </w:pPr>
      <w:r>
        <w:rPr>
          <w:bCs/>
          <w:b/>
        </w:rPr>
        <w:t xml:space="preserve">Decisão 16. Formato das citações.</w:t>
      </w:r>
      <w:r>
        <w:t xml:space="preserve"> </w:t>
      </w:r>
      <w:r>
        <w:t xml:space="preserve">Nos parágrafos que você reescreveu no 3.2 e no 3.2.1, as citações estão em texto normal; no resto da tese, em subscrito. As citações que eu inseri seguem o subscrito. Basta escolher um padrão.</w:t>
      </w:r>
    </w:p>
    <w:p>
      <w:pPr>
        <w:pStyle w:val="BodyText"/>
      </w:pPr>
      <w:r>
        <w:rPr>
          <w:bCs/>
          <w:b/>
        </w:rPr>
        <w:t xml:space="preserve">Decisão 17. Tabela R2 → R3.</w:t>
      </w:r>
      <w:r>
        <w:t xml:space="preserve"> </w:t>
      </w:r>
      <w:r>
        <w:t xml:space="preserve">O parágrafo novo da 1.1 já responde ao</w:t>
      </w:r>
      <w:r>
        <w:t xml:space="preserve"> </w:t>
      </w:r>
      <w:r>
        <w:t xml:space="preserve">“</w:t>
      </w:r>
      <w:r>
        <w:t xml:space="preserve">por que a R3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Opção extra:</w:t>
      </w:r>
      <w:r>
        <w:t xml:space="preserve"> </w:t>
      </w:r>
      <w:r>
        <w:t xml:space="preserve">uma tabela curta (tema; R2; R3; tipo de mudança; consequência para o centro).</w:t>
      </w:r>
      <w:r>
        <w:t xml:space="preserve"> </w:t>
      </w:r>
      <w:r>
        <w:rPr>
          <w:iCs/>
          <w:i/>
        </w:rPr>
        <w:t xml:space="preserve">Recomendação:</w:t>
      </w:r>
      <w:r>
        <w:t xml:space="preserve"> </w:t>
      </w:r>
      <w:r>
        <w:t xml:space="preserve">não fazer, porque o parágrafo basta.</w:t>
      </w:r>
    </w:p>
    <w:bookmarkEnd w:id="29"/>
    <w:bookmarkStart w:id="30" w:name="parte-4.-descartado-ou-já-resolvido"/>
    <w:p>
      <w:pPr>
        <w:pStyle w:val="Heading1"/>
      </w:pPr>
      <w:r>
        <w:t xml:space="preserve">Parte 4. Descartado ou já resolvido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dos 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 (base dos pilares inconsistente)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resolvido na sua versão: 2.5.1, 3.2.1, 4.1 e 5.1 dizem ISO 13485, 14971 e 15189. Só o Cap. 6 destoava (corrigido, Parte 1.2).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E4, remissão</w:t>
            </w:r>
            <w:r>
              <w:t xml:space="preserve"> </w:t>
            </w:r>
            <w:r>
              <w:t xml:space="preserve">“</w:t>
            </w:r>
            <w:r>
              <w:t xml:space="preserve">section 2.2</w:t>
            </w:r>
            <w:r>
              <w:t xml:space="preserve">”</w:t>
            </w:r>
            <w:r>
              <w:t xml:space="preserve"> </w:t>
            </w:r>
            <w:r>
              <w:t xml:space="preserve">no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corrigido na sua versão.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Annex 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já tirou do 3.2.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 de dados críticos como instrumento novo (M1)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criado. Entrou a frase de fronteira das Propostas (4.4.3). A aba Filtros já tinha tirado</w:t>
            </w:r>
            <w:r>
              <w:t xml:space="preserve"> </w:t>
            </w:r>
            <w:r>
              <w:t xml:space="preserve">“</w:t>
            </w:r>
            <w:r>
              <w:t xml:space="preserve">computerised systems</w:t>
            </w:r>
            <w:r>
              <w:t xml:space="preserve">”</w:t>
            </w:r>
            <w:r>
              <w:t xml:space="preserve"> </w:t>
            </w:r>
            <w:r>
              <w:t xml:space="preserve">pelo filtro de responsabilidade, porque os sistemas costumam ser do patrocinador.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Reduzir os 24 instrumentos a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próprio relatório não pede.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Frase-síntese com</w:t>
            </w:r>
            <w:r>
              <w:t xml:space="preserve"> </w:t>
            </w:r>
            <w:r>
              <w:t xml:space="preserve">“</w:t>
            </w:r>
            <w:r>
              <w:t xml:space="preserve">Rather than transferring…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 a regra de prosa. Usei as formulações das Propostas.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Anvisa (B5)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escopo europeu da tese.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MDIC e o domínio 10 (segurança)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suplemento não lista detecção de sinal de segurança como consideração do centro. Usei só os domínios 1, 4, 6 e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Kumar 2016 e CTTI com</w:t>
            </w:r>
            <w:r>
              <w:t xml:space="preserve"> </w:t>
            </w:r>
            <w:r>
              <w:t xml:space="preserve">“</w:t>
            </w:r>
            <w:r>
              <w:t xml:space="preserve">mais de 200 participantes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conferi esses números. Não usei.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1.3,</w:t>
            </w:r>
            <w:r>
              <w:t xml:space="preserve"> </w:t>
            </w:r>
            <w:r>
              <w:t xml:space="preserve">“</w:t>
            </w:r>
            <w:r>
              <w:t xml:space="preserve">Identify and validate the CtQ factors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Mantido. É a tarefa do estudo como um todo, e o parágrafo seguinte já diz que o patrocinador mantém a gestão da qualidade do ensaio.</w:t>
            </w:r>
          </w:p>
        </w:tc>
      </w:tr>
    </w:tbl>
    <w:bookmarkEnd w:id="30"/>
    <w:bookmarkStart w:id="31" w:name="parte-5.-fontes-primárias-conferidas"/>
    <w:p>
      <w:pPr>
        <w:pStyle w:val="Heading1"/>
      </w:pPr>
      <w:r>
        <w:t xml:space="preserve">Parte 5. Fontes primárias conferidas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ICH E6(R3)</w:t>
      </w:r>
      <w:r>
        <w:t xml:space="preserve"> </w:t>
      </w:r>
      <w:r>
        <w:t xml:space="preserve">(Step 4, 06/01/2025): Princípios 5 a 7 e 10, 2.2.2, 2.3.1 a 2.3.4, 2.5.3, 2.12.2, 3.10, 3.10.1.3, Seção 4, Apêndice C e glossário (</w:t>
      </w:r>
      <w:r>
        <w:rPr>
          <w:iCs/>
          <w:i/>
        </w:rPr>
        <w:t xml:space="preserve">investigational product</w:t>
      </w:r>
      <w:r>
        <w:t xml:space="preserve">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ICH E6(R2)</w:t>
      </w:r>
      <w:r>
        <w:t xml:space="preserve"> </w:t>
      </w:r>
      <w:r>
        <w:t xml:space="preserve">(addendum de 2016): 4.2.5, 4.2.6, 5.0.1 e 5.0.4.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ISO 14155:2026:</w:t>
      </w:r>
      <w:r>
        <w:t xml:space="preserve"> </w:t>
      </w:r>
      <w:r>
        <w:t xml:space="preserve">10.6 c), h), i), k) e o).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MDR:</w:t>
      </w:r>
      <w:r>
        <w:t xml:space="preserve"> </w:t>
      </w:r>
      <w:r>
        <w:t xml:space="preserve">Anexo XV, Cap. II, 3.10 a 3.15, e Cap. III, 2.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MDIC</w:t>
      </w:r>
      <w:r>
        <w:t xml:space="preserve">,</w:t>
      </w:r>
      <w:r>
        <w:t xml:space="preserve"> </w:t>
      </w:r>
      <w:r>
        <w:rPr>
          <w:iCs/>
          <w:i/>
        </w:rPr>
        <w:t xml:space="preserve">Medical device supplement to the CTTI CTQ principles</w:t>
      </w:r>
      <w:r>
        <w:t xml:space="preserve"> </w:t>
      </w:r>
      <w:r>
        <w:t xml:space="preserve">(2016).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EMA</w:t>
      </w:r>
      <w:r>
        <w:t xml:space="preserve">, página da ICH E6 (datas de efeito na UE).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PubMed:</w:t>
      </w:r>
      <w:r>
        <w:t xml:space="preserve"> </w:t>
      </w:r>
      <w:r>
        <w:t xml:space="preserve">Butterworth et al. 2025 (PMID 39826446) e Dirks et al. 2024 (PMID 38366107).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Planilha de derivação v5:</w:t>
      </w:r>
      <w:r>
        <w:t xml:space="preserve"> </w:t>
      </w:r>
      <w:r>
        <w:t xml:space="preserve">abas Matriz, Filtros, Domínios e Lacunas.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732">
    <w:nsid w:val="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733">
    <w:nsid w:val="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1"/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Revisão da tese a partir dos três relatórios</dc:title>
  <dc:creator/>
  <cp:keywords/>
  <dcterms:created xsi:type="dcterms:W3CDTF">2026-10-19T23:04:21Z</dcterms:created>
  <dcterms:modified xsi:type="dcterms:W3CDTF">2026-10-19T23:04:21Z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Mudanças aplicadas, decisões pendentes e itens descartados — 19/10/2026</vt:lpwstr>
  </property>
</Properties>
</file>