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/>
        </w:rPr>
        <w:t xml:space="preserve">Table 4.1. </w:t>
      </w:r>
      <w:r>
        <w:rPr>
          <w:i/>
        </w:rPr>
        <w:t>The six functions of the role structure, with the main responsibilities and the limit of authority of 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before="40" w:after="40"/>
            </w:pPr>
            <w:r>
              <w:rPr>
                <w:b/>
              </w:rPr>
              <w:t>Function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before="40" w:after="40"/>
            </w:pPr>
            <w:r>
              <w:rPr>
                <w:b/>
              </w:rPr>
              <w:t>Main responsibilities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before="40" w:after="40"/>
            </w:pPr>
            <w:r>
              <w:rPr>
                <w:b/>
              </w:rPr>
              <w:t>Limit of authority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>
              <w:rPr>
                <w:b/>
              </w:rPr>
              <w:t>Principal investigator (PI)</w:t>
            </w:r>
          </w:p>
        </w:tc>
        <w:tc>
          <w:tcPr>
            <w:tcW w:type="dxa" w:w="4195"/>
          </w:tcPr>
          <w:p>
            <w:pPr>
              <w:spacing w:before="40" w:after="40"/>
              <w:jc w:val="left"/>
            </w:pPr>
            <w:r>
              <w:rPr>
                <w:b w:val="0"/>
              </w:rPr>
              <w:t>Accountable for conduct at the site and for the appropriateness of every delegated activity. Receives clinically meaningful discrepancies for resolution.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b w:val="0"/>
              </w:rPr>
              <w:t>Delegation transfers execution. Responsibility stays with the PI.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>
              <w:rPr>
                <w:b/>
              </w:rPr>
              <w:t>Study coordinator (or research nurse, where the site uses that title)</w:t>
            </w:r>
          </w:p>
        </w:tc>
        <w:tc>
          <w:tcPr>
            <w:tcW w:type="dxa" w:w="4195"/>
          </w:tcPr>
          <w:p>
            <w:pPr>
              <w:spacing w:before="40" w:after="40"/>
              <w:jc w:val="left"/>
            </w:pPr>
            <w:r>
              <w:rPr>
                <w:b w:val="0"/>
              </w:rPr>
              <w:t>Principal operational integrator. Coordinates consent logistics and study visits, and carries documentation flow and issue escalation across the site.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b w:val="0"/>
              </w:rPr>
              <w:t>Clinical. Does not decide eligibility, interpret safety information, or classify a PD.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>
              <w:rPr>
                <w:b/>
              </w:rPr>
              <w:t>Operating room staff</w:t>
            </w:r>
          </w:p>
        </w:tc>
        <w:tc>
          <w:tcPr>
            <w:tcW w:type="dxa" w:w="4195"/>
          </w:tcPr>
          <w:p>
            <w:pPr>
              <w:spacing w:before="40" w:after="40"/>
              <w:jc w:val="left"/>
            </w:pPr>
            <w:r>
              <w:rPr>
                <w:b w:val="0"/>
              </w:rPr>
              <w:t>Prepare the investigational device for use and apply the chain-of-custody controls. Record the intraoperative procedural data and complete the procedural source records.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b w:val="0"/>
              </w:rPr>
              <w:t>Document procedural facts. No authority over clinical decisions.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>
              <w:rPr>
                <w:b/>
              </w:rPr>
              <w:t>Radiology liaison</w:t>
            </w:r>
          </w:p>
        </w:tc>
        <w:tc>
          <w:tcPr>
            <w:tcW w:type="dxa" w:w="4195"/>
          </w:tcPr>
          <w:p>
            <w:pPr>
              <w:spacing w:before="40" w:after="40"/>
              <w:jc w:val="left"/>
            </w:pPr>
            <w:r>
              <w:rPr>
                <w:b w:val="0"/>
              </w:rPr>
              <w:t>Supports adherence to the imaging protocol and compliance with the imaging windows. Holds the technical consistency of image acquisition and transfer.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b w:val="0"/>
              </w:rPr>
              <w:t>Technical quality only. Where central reading applies, endpoint adjudication is not a site-level function.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>
              <w:rPr>
                <w:b/>
              </w:rPr>
              <w:t>Functional assessor (in many sites a physiotherapist)</w:t>
            </w:r>
          </w:p>
        </w:tc>
        <w:tc>
          <w:tcPr>
            <w:tcW w:type="dxa" w:w="4195"/>
          </w:tcPr>
          <w:p>
            <w:pPr>
              <w:spacing w:before="40" w:after="40"/>
              <w:jc w:val="left"/>
            </w:pPr>
            <w:r>
              <w:rPr>
                <w:b w:val="0"/>
              </w:rPr>
              <w:t>Conducts ROM measurement and the PROM workflows wherever those activities are critical to endpoint quality.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b w:val="0"/>
              </w:rPr>
              <w:t>Administers assessments by a defined method. Does not interpret what an endpoint means.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>
              <w:rPr>
                <w:b/>
              </w:rPr>
              <w:t>Data QA</w:t>
            </w:r>
          </w:p>
        </w:tc>
        <w:tc>
          <w:tcPr>
            <w:tcW w:type="dxa" w:w="4195"/>
          </w:tcPr>
          <w:p>
            <w:pPr>
              <w:spacing w:before="40" w:after="40"/>
              <w:jc w:val="left"/>
            </w:pPr>
            <w:r>
              <w:rPr>
                <w:b w:val="0"/>
              </w:rPr>
              <w:t>Manages query flow, monitors critical-data completeness, and keeps pending data risks visible. Identifies discrepancies.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b w:val="0"/>
              </w:rPr>
              <w:t>A clinically meaningful discrepancy goes to the PI for resolution.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