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Discussion</w:t>
      </w:r>
    </w:p>
    <w:p>
      <w:pPr>
        <w:pStyle w:val="Heading2"/>
      </w:pPr>
      <w:r>
        <w:t>5.1 What the thesis set out to do and what it delivered</w:t>
      </w:r>
    </w:p>
    <w:p>
      <w:pPr>
        <w:ind w:firstLine="720"/>
        <w:jc w:val="both"/>
      </w:pPr>
      <w:r>
        <w:t xml:space="preserve">A site can conduct an investigation well and still have little to show when a governance review asks how it controlled its conduct. Under the older arrangement this mattered less, because the sponsor assured quality through monitoring visits and source data verification, together with audit, and held the evidence that the conduct had been controlled. ICH E6(R3) now asks the investigator to put processes in place and to make sure that qualified staff and adequate resources support quality at the site </w:t>
      </w:r>
      <w:r>
        <w:rPr>
          <w:vertAlign w:val="subscript"/>
        </w:rPr>
        <w:t>[6]</w:t>
      </w:r>
      <w:r>
        <w:t>, without saying what the investigator should produce to show that this was done. Section 1.5 turned this situation into the question of the thesis, which asked what structure a site can use to carry its part of the responsibility for quality during conduct.</w:t>
      </w:r>
    </w:p>
    <w:p>
      <w:pPr>
        <w:ind w:firstLine="720"/>
        <w:jc w:val="both"/>
      </w:pPr>
      <w:r>
        <w:t xml:space="preserve">Each of the four objectives set in Section 1.5 was met at the level of design. The clause-by-clause comparison of ICH E6(R3), ISO 14155:2026, and MDR Annex XV </w:t>
      </w:r>
      <w:r>
        <w:rPr>
          <w:vertAlign w:val="subscript"/>
        </w:rPr>
        <w:t>[8, 10]</w:t>
      </w:r>
      <w:r>
        <w:t xml:space="preserve"> found five site-level gaps, and the analysis of CtQ domains gave twelve domains kept apart from the trial-level factors that the sponsor defines. From these results and the operating conditions of the target center we derived twelve design requirements, which Chapter 4 answered with four pillars and twenty-four instruments, organized in time by a lifecycle and in extent by a scalability model. Because no site has yet operated the framework, none of the objectives was met at the level of use. What the thesis shows is that a site-level framework can be derived from the texts that govern device investigations and that each of its components traces back to a gap or a domain, or to an operating condition of the target center. That a site using it detects problems earlier and loses less information is an expectation we have not measured.</w:t>
      </w:r>
    </w:p>
    <w:p>
      <w:pPr>
        <w:ind w:firstLine="720"/>
        <w:jc w:val="both"/>
      </w:pPr>
      <w:r>
        <w:t xml:space="preserve">Gregor and Hevner classify a design contribution by how mature its problem and its solution are, and they call the transfer of a known solution to a new problem an exaptation </w:t>
      </w:r>
      <w:r>
        <w:rPr>
          <w:highlight w:val="yellow"/>
        </w:rPr>
        <w:t>[ref: Gregor and Hevner 2013]</w:t>
      </w:r>
      <w:r>
        <w:t xml:space="preserve">. Most of the framework is a contribution of this kind. A documented quality system is an established solution, run by the manufacturer under ISO 13485:2016 and ISO 14971:2019 and by the medical laboratory under ISO 15189:2022 </w:t>
      </w:r>
      <w:r>
        <w:rPr>
          <w:vertAlign w:val="subscript"/>
        </w:rPr>
        <w:t>[52, 53, 54]</w:t>
      </w:r>
      <w:r>
        <w:t>. The problem is recent, since the revised guidelines give the site a larger share of the responsibility for quality without a structure to carry it. For four of the five gaps, the framework takes a principle that the texts state for the sponsor, such as the risk management cycle or continuous improvement, and builds the site-level instrument that the texts leave out. A regulator could derive each of these four duties from duties the site already holds, so in these areas the framework adds organization to obligations that already exist.</w:t>
      </w:r>
    </w:p>
    <w:p>
      <w:pPr>
        <w:ind w:firstLine="720"/>
        <w:jc w:val="both"/>
      </w:pPr>
      <w:r>
        <w:t>Observation of the surgeon during conduct, which answers the third gap, is a contribution of another kind. ISO 14155:2026 allows the sponsor to justify a roll-in phase in the CIP, and the surgical trials literature controls the operator at entry, but none of the texts we compared gives the site a role once the investigation has started. The SLCT and the surgeon procedural consistency indicator cover that interval, and both feed the credentialing decision. In Gregor and Hevner's terms this part is an improvement, a new solution to a problem the field already knows. Since no clause asks for it, its derivation is the weakest in the framework and rests on an argument. When the CtQ logic required by the texts is applied to an intervention delivered by a person whose execution changes over time, operator learning becomes a threat to data validity. A qualification at entry cannot control that threat, because it records a state at one moment while learning unfolds as a trajectory.</w:t>
      </w:r>
    </w:p>
    <w:p>
      <w:pPr>
        <w:ind w:firstLine="720"/>
        <w:jc w:val="both"/>
      </w:pPr>
      <w:r>
        <w:t>Outside the objectives, our reconciliation of the three texts also found no published comparison of ICH E6(R3) with ISO 14155. A site that works under both therefore has to reconcile them by itself, and safety reporting shows what that costs. ISO 14155:2026 leaves to the CIP the interval within which the investigator reports a serious event to the sponsor, while the intervals in the MDR govern the sponsor's reports to the authorities. Most research staff also learned their safety vocabulary in medicinal product trials, which have no equivalent of the device categories of adverse device effect and device deficiency. When no text states the interval, staff tend to apply the one they remember from those trials, and a site that reconciles the texts informally can train its team to an obligation it does not have. For this reason each instrument of the framework cites the text that is the primary authority for its obligation, and the safety reporting indicator takes its interval from the CIP.</w:t>
      </w:r>
    </w:p>
    <w:p>
      <w:pPr>
        <w:pStyle w:val="Heading2"/>
      </w:pPr>
      <w:r>
        <w:t>5.2 Position in the literature</w:t>
      </w:r>
    </w:p>
    <w:p>
      <w:pPr>
        <w:ind w:firstLine="720"/>
        <w:jc w:val="both"/>
      </w:pPr>
      <w:r>
        <w:t>The works we reviewed on quality in clinical investigations fall into four bodies (Table 5.1). Sponsor-level infrastructure and surgical quality assurance produce instruments for the parties that design and run trials, while the literature on site capacity and performance produces measures applied to sites. A fourth group of empirical studies describes how sites manage quality in practice.</w:t>
      </w:r>
    </w:p>
    <w:p>
      <w:pPr>
        <w:spacing w:before="120" w:after="80"/>
      </w:pPr>
      <w:r>
        <w:rPr>
          <w:i/>
          <w:sz w:val="20"/>
        </w:rPr>
        <w:t>Table 5.1. Works on quality in clinical investigations grouped by body of work, with what each provides, who holds it and when it acts, and how it relates to the framework of this thesis.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D9D9"/>
          </w:tcPr>
          <w:p>
            <w:pPr>
              <w:spacing w:line="240" w:lineRule="auto"/>
            </w:pPr>
            <w:r>
              <w:rPr>
                <w:b/>
                <w:sz w:val="18"/>
              </w:rPr>
              <w:t>Body of work</w:t>
            </w:r>
          </w:p>
        </w:tc>
        <w:tc>
          <w:tcPr>
            <w:tcW w:type="dxa" w:w="1728"/>
            <w:shd w:val="clear" w:color="auto" w:fill="D9D9D9"/>
          </w:tcPr>
          <w:p>
            <w:pPr>
              <w:spacing w:line="240" w:lineRule="auto"/>
            </w:pPr>
            <w:r>
              <w:rPr>
                <w:b/>
                <w:sz w:val="18"/>
              </w:rPr>
              <w:t>Work</w:t>
            </w:r>
          </w:p>
        </w:tc>
        <w:tc>
          <w:tcPr>
            <w:tcW w:type="dxa" w:w="1728"/>
            <w:shd w:val="clear" w:color="auto" w:fill="D9D9D9"/>
          </w:tcPr>
          <w:p>
            <w:pPr>
              <w:spacing w:line="240" w:lineRule="auto"/>
            </w:pPr>
            <w:r>
              <w:rPr>
                <w:b/>
                <w:sz w:val="18"/>
              </w:rPr>
              <w:t>What it provides</w:t>
            </w:r>
          </w:p>
        </w:tc>
        <w:tc>
          <w:tcPr>
            <w:tcW w:type="dxa" w:w="1728"/>
            <w:shd w:val="clear" w:color="auto" w:fill="D9D9D9"/>
          </w:tcPr>
          <w:p>
            <w:pPr>
              <w:spacing w:line="240" w:lineRule="auto"/>
            </w:pPr>
            <w:r>
              <w:rPr>
                <w:b/>
                <w:sz w:val="18"/>
              </w:rPr>
              <w:t>Holder and moment of use</w:t>
            </w:r>
          </w:p>
        </w:tc>
        <w:tc>
          <w:tcPr>
            <w:tcW w:type="dxa" w:w="1728"/>
            <w:shd w:val="clear" w:color="auto" w:fill="D9D9D9"/>
          </w:tcPr>
          <w:p>
            <w:pPr>
              <w:spacing w:line="240" w:lineRule="auto"/>
            </w:pPr>
            <w:r>
              <w:rPr>
                <w:b/>
                <w:sz w:val="18"/>
              </w:rPr>
              <w:t>Relation to this framework</w:t>
            </w:r>
          </w:p>
        </w:tc>
      </w:tr>
      <w:tr>
        <w:tc>
          <w:tcPr>
            <w:tcW w:type="dxa" w:w="1728"/>
            <w:vMerge w:val="restart"/>
            <w:shd w:val="clear" w:color="auto" w:fill="F2F2F2"/>
          </w:tcPr>
          <w:p>
            <w:pPr>
              <w:spacing w:line="240" w:lineRule="auto"/>
            </w:pPr>
            <w:r>
              <w:rPr>
                <w:b/>
                <w:sz w:val="18"/>
              </w:rPr>
              <w:t>Sponsor-level quality infrastructure</w:t>
            </w:r>
          </w:p>
        </w:tc>
        <w:tc>
          <w:tcPr>
            <w:tcW w:type="dxa" w:w="1728"/>
          </w:tcPr>
          <w:p>
            <w:pPr>
              <w:spacing w:line="240" w:lineRule="auto"/>
            </w:pPr>
            <w:r>
              <w:rPr>
                <w:sz w:val="18"/>
              </w:rPr>
              <w:t xml:space="preserve">EMA reflection paper on risk-based quality management </w:t>
            </w:r>
            <w:r>
              <w:rPr>
                <w:sz w:val="18"/>
                <w:vertAlign w:val="subscript"/>
              </w:rPr>
              <w:t>[1]</w:t>
            </w:r>
          </w:p>
        </w:tc>
        <w:tc>
          <w:tcPr>
            <w:tcW w:type="dxa" w:w="1728"/>
          </w:tcPr>
          <w:p>
            <w:pPr>
              <w:spacing w:line="240" w:lineRule="auto"/>
            </w:pPr>
            <w:r>
              <w:rPr>
                <w:sz w:val="18"/>
              </w:rPr>
              <w:t>The cycle that runs from risk identification to review for a trial</w:t>
            </w:r>
          </w:p>
        </w:tc>
        <w:tc>
          <w:tcPr>
            <w:tcW w:type="dxa" w:w="1728"/>
          </w:tcPr>
          <w:p>
            <w:pPr>
              <w:spacing w:line="240" w:lineRule="auto"/>
            </w:pPr>
            <w:r>
              <w:rPr>
                <w:sz w:val="18"/>
              </w:rPr>
              <w:t>Sponsor, from design to close-out</w:t>
            </w:r>
          </w:p>
        </w:tc>
        <w:tc>
          <w:tcPr>
            <w:tcW w:type="dxa" w:w="1728"/>
          </w:tcPr>
          <w:p>
            <w:pPr>
              <w:spacing w:line="240" w:lineRule="auto"/>
            </w:pPr>
            <w:r>
              <w:rPr>
                <w:sz w:val="18"/>
              </w:rPr>
              <w:t>The SRR applies the same cycle to the risks of the site's own execution</w:t>
            </w:r>
          </w:p>
        </w:tc>
      </w:tr>
      <w:tr>
        <w:tc>
          <w:tcPr>
            <w:tcW w:type="dxa" w:w="1728"/>
            <w:vMerge/>
          </w:tcPr>
          <w:p>
            <w:pPr>
              <w:spacing w:line="240" w:lineRule="auto"/>
            </w:pPr>
          </w:p>
        </w:tc>
        <w:tc>
          <w:tcPr>
            <w:tcW w:type="dxa" w:w="1728"/>
          </w:tcPr>
          <w:p>
            <w:pPr>
              <w:spacing w:line="240" w:lineRule="auto"/>
            </w:pPr>
            <w:r>
              <w:rPr>
                <w:sz w:val="18"/>
              </w:rPr>
              <w:t xml:space="preserve">TransCelerate clinical quality management system </w:t>
            </w:r>
            <w:r>
              <w:rPr>
                <w:sz w:val="18"/>
                <w:vertAlign w:val="subscript"/>
              </w:rPr>
              <w:t>[32]</w:t>
            </w:r>
          </w:p>
        </w:tc>
        <w:tc>
          <w:tcPr>
            <w:tcW w:type="dxa" w:w="1728"/>
          </w:tcPr>
          <w:p>
            <w:pPr>
              <w:spacing w:line="240" w:lineRule="auto"/>
            </w:pPr>
            <w:r>
              <w:rPr>
                <w:sz w:val="18"/>
              </w:rPr>
              <w:t>A conceptual framework for a clinical quality management system, discussed with regulators</w:t>
            </w:r>
          </w:p>
        </w:tc>
        <w:tc>
          <w:tcPr>
            <w:tcW w:type="dxa" w:w="1728"/>
          </w:tcPr>
          <w:p>
            <w:pPr>
              <w:spacing w:line="240" w:lineRule="auto"/>
            </w:pPr>
            <w:r>
              <w:rPr>
                <w:sz w:val="18"/>
              </w:rPr>
              <w:t>Sponsor organizations</w:t>
            </w:r>
          </w:p>
        </w:tc>
        <w:tc>
          <w:tcPr>
            <w:tcW w:type="dxa" w:w="1728"/>
          </w:tcPr>
          <w:p>
            <w:pPr>
              <w:spacing w:line="240" w:lineRule="auto"/>
            </w:pPr>
            <w:r>
              <w:rPr>
                <w:sz w:val="18"/>
              </w:rPr>
              <w:t>Similar functions at the level of the organization that runs trials, with the site as a party the sponsor oversees</w:t>
            </w:r>
          </w:p>
        </w:tc>
      </w:tr>
      <w:tr>
        <w:tc>
          <w:tcPr>
            <w:tcW w:type="dxa" w:w="1728"/>
            <w:vMerge/>
          </w:tcPr>
          <w:p>
            <w:pPr>
              <w:spacing w:line="240" w:lineRule="auto"/>
            </w:pPr>
          </w:p>
        </w:tc>
        <w:tc>
          <w:tcPr>
            <w:tcW w:type="dxa" w:w="1728"/>
          </w:tcPr>
          <w:p>
            <w:pPr>
              <w:spacing w:line="240" w:lineRule="auto"/>
            </w:pPr>
            <w:r>
              <w:rPr>
                <w:sz w:val="18"/>
              </w:rPr>
              <w:t xml:space="preserve">CTTI quality by design project and CtQ principles </w:t>
            </w:r>
            <w:r>
              <w:rPr>
                <w:sz w:val="18"/>
                <w:vertAlign w:val="subscript"/>
              </w:rPr>
              <w:t>[33, 55]</w:t>
            </w:r>
          </w:p>
        </w:tc>
        <w:tc>
          <w:tcPr>
            <w:tcW w:type="dxa" w:w="1728"/>
          </w:tcPr>
          <w:p>
            <w:pPr>
              <w:spacing w:line="240" w:lineRule="auto"/>
            </w:pPr>
            <w:r>
              <w:rPr>
                <w:sz w:val="18"/>
              </w:rPr>
              <w:t>A method to identify CtQ factors and build quality into trial design</w:t>
            </w:r>
          </w:p>
        </w:tc>
        <w:tc>
          <w:tcPr>
            <w:tcW w:type="dxa" w:w="1728"/>
          </w:tcPr>
          <w:p>
            <w:pPr>
              <w:spacing w:line="240" w:lineRule="auto"/>
            </w:pPr>
            <w:r>
              <w:rPr>
                <w:sz w:val="18"/>
              </w:rPr>
              <w:t>Sponsor and protocol team, at design</w:t>
            </w:r>
          </w:p>
        </w:tc>
        <w:tc>
          <w:tcPr>
            <w:tcW w:type="dxa" w:w="1728"/>
          </w:tcPr>
          <w:p>
            <w:pPr>
              <w:spacing w:line="240" w:lineRule="auto"/>
            </w:pPr>
            <w:r>
              <w:rPr>
                <w:sz w:val="18"/>
              </w:rPr>
              <w:t>Source of the CtQ logic that Chapter 3 carried to site-level domains</w:t>
            </w:r>
          </w:p>
        </w:tc>
      </w:tr>
      <w:tr>
        <w:tc>
          <w:tcPr>
            <w:tcW w:type="dxa" w:w="1728"/>
            <w:vMerge/>
          </w:tcPr>
          <w:p>
            <w:pPr>
              <w:spacing w:line="240" w:lineRule="auto"/>
            </w:pPr>
          </w:p>
        </w:tc>
        <w:tc>
          <w:tcPr>
            <w:tcW w:type="dxa" w:w="1728"/>
          </w:tcPr>
          <w:p>
            <w:pPr>
              <w:spacing w:line="240" w:lineRule="auto"/>
            </w:pPr>
            <w:r>
              <w:rPr>
                <w:sz w:val="18"/>
              </w:rPr>
              <w:t xml:space="preserve">MDIC medical device supplement </w:t>
            </w:r>
            <w:r>
              <w:rPr>
                <w:sz w:val="18"/>
                <w:vertAlign w:val="subscript"/>
              </w:rPr>
              <w:t>[34]</w:t>
            </w:r>
          </w:p>
        </w:tc>
        <w:tc>
          <w:tcPr>
            <w:tcW w:type="dxa" w:w="1728"/>
          </w:tcPr>
          <w:p>
            <w:pPr>
              <w:spacing w:line="240" w:lineRule="auto"/>
            </w:pPr>
            <w:r>
              <w:rPr>
                <w:sz w:val="18"/>
              </w:rPr>
              <w:t>CtQ considerations specific to devices, including learning curves in device use and factors that depend on the site</w:t>
            </w:r>
          </w:p>
        </w:tc>
        <w:tc>
          <w:tcPr>
            <w:tcW w:type="dxa" w:w="1728"/>
          </w:tcPr>
          <w:p>
            <w:pPr>
              <w:spacing w:line="240" w:lineRule="auto"/>
            </w:pPr>
            <w:r>
              <w:rPr>
                <w:sz w:val="18"/>
              </w:rPr>
              <w:t>Sponsor, at design</w:t>
            </w:r>
          </w:p>
        </w:tc>
        <w:tc>
          <w:tcPr>
            <w:tcW w:type="dxa" w:w="1728"/>
          </w:tcPr>
          <w:p>
            <w:pPr>
              <w:spacing w:line="240" w:lineRule="auto"/>
            </w:pPr>
            <w:r>
              <w:rPr>
                <w:sz w:val="18"/>
              </w:rPr>
              <w:t>Recognizes operator learning and leaves its control to the design of the trial</w:t>
            </w:r>
          </w:p>
        </w:tc>
      </w:tr>
      <w:tr>
        <w:tc>
          <w:tcPr>
            <w:tcW w:type="dxa" w:w="1728"/>
            <w:vMerge/>
          </w:tcPr>
          <w:p>
            <w:pPr>
              <w:spacing w:line="240" w:lineRule="auto"/>
            </w:pPr>
          </w:p>
        </w:tc>
        <w:tc>
          <w:tcPr>
            <w:tcW w:type="dxa" w:w="1728"/>
          </w:tcPr>
          <w:p>
            <w:pPr>
              <w:spacing w:line="240" w:lineRule="auto"/>
            </w:pPr>
            <w:r>
              <w:rPr>
                <w:sz w:val="18"/>
              </w:rPr>
              <w:t xml:space="preserve">FDA guidance on risk-based monitoring </w:t>
            </w:r>
            <w:r>
              <w:rPr>
                <w:sz w:val="18"/>
                <w:vertAlign w:val="subscript"/>
              </w:rPr>
              <w:t>[79]</w:t>
            </w:r>
            <w:r>
              <w:rPr>
                <w:sz w:val="18"/>
              </w:rPr>
              <w:t xml:space="preserve">; risk-based monitoring update </w:t>
            </w:r>
            <w:r>
              <w:rPr>
                <w:sz w:val="18"/>
                <w:vertAlign w:val="subscript"/>
              </w:rPr>
              <w:t>[91]</w:t>
            </w:r>
          </w:p>
        </w:tc>
        <w:tc>
          <w:tcPr>
            <w:tcW w:type="dxa" w:w="1728"/>
          </w:tcPr>
          <w:p>
            <w:pPr>
              <w:spacing w:line="240" w:lineRule="auto"/>
            </w:pPr>
            <w:r>
              <w:rPr>
                <w:sz w:val="18"/>
              </w:rPr>
              <w:t>Risk-based monitoring practice and its adoption across the industry</w:t>
            </w:r>
          </w:p>
        </w:tc>
        <w:tc>
          <w:tcPr>
            <w:tcW w:type="dxa" w:w="1728"/>
          </w:tcPr>
          <w:p>
            <w:pPr>
              <w:spacing w:line="240" w:lineRule="auto"/>
            </w:pPr>
            <w:r>
              <w:rPr>
                <w:sz w:val="18"/>
              </w:rPr>
              <w:t>Sponsor and CRO, during conduct</w:t>
            </w:r>
          </w:p>
        </w:tc>
        <w:tc>
          <w:tcPr>
            <w:tcW w:type="dxa" w:w="1728"/>
          </w:tcPr>
          <w:p>
            <w:pPr>
              <w:spacing w:line="240" w:lineRule="auto"/>
            </w:pPr>
            <w:r>
              <w:rPr>
                <w:sz w:val="18"/>
              </w:rPr>
              <w:t>Reaches the site from outside, on a schedule the site does not set</w:t>
            </w:r>
          </w:p>
        </w:tc>
      </w:tr>
      <w:tr>
        <w:tc>
          <w:tcPr>
            <w:tcW w:type="dxa" w:w="1728"/>
            <w:vMerge/>
          </w:tcPr>
          <w:p>
            <w:pPr>
              <w:spacing w:line="240" w:lineRule="auto"/>
            </w:pPr>
          </w:p>
        </w:tc>
        <w:tc>
          <w:tcPr>
            <w:tcW w:type="dxa" w:w="1728"/>
          </w:tcPr>
          <w:p>
            <w:pPr>
              <w:spacing w:line="240" w:lineRule="auto"/>
            </w:pPr>
            <w:r>
              <w:rPr>
                <w:sz w:val="18"/>
              </w:rPr>
              <w:t xml:space="preserve">RBQM adoption maturity survey </w:t>
            </w:r>
            <w:r>
              <w:rPr>
                <w:sz w:val="18"/>
                <w:vertAlign w:val="subscript"/>
              </w:rPr>
              <w:t>[13]</w:t>
            </w:r>
          </w:p>
        </w:tc>
        <w:tc>
          <w:tcPr>
            <w:tcW w:type="dxa" w:w="1728"/>
          </w:tcPr>
          <w:p>
            <w:pPr>
              <w:spacing w:line="240" w:lineRule="auto"/>
            </w:pPr>
            <w:r>
              <w:rPr>
                <w:sz w:val="18"/>
              </w:rPr>
              <w:t>Use of 32 RBQM practices in 119 companies, with identification of CtQ factors among the least used</w:t>
            </w:r>
          </w:p>
        </w:tc>
        <w:tc>
          <w:tcPr>
            <w:tcW w:type="dxa" w:w="1728"/>
          </w:tcPr>
          <w:p>
            <w:pPr>
              <w:spacing w:line="240" w:lineRule="auto"/>
            </w:pPr>
            <w:r>
              <w:rPr>
                <w:sz w:val="18"/>
              </w:rPr>
              <w:t>Sponsor</w:t>
            </w:r>
          </w:p>
        </w:tc>
        <w:tc>
          <w:tcPr>
            <w:tcW w:type="dxa" w:w="1728"/>
          </w:tcPr>
          <w:p>
            <w:pPr>
              <w:spacing w:line="240" w:lineRule="auto"/>
            </w:pPr>
            <w:r>
              <w:rPr>
                <w:sz w:val="18"/>
              </w:rPr>
              <w:t>The sponsor input that the SRR starts from is often missing</w:t>
            </w:r>
          </w:p>
        </w:tc>
      </w:tr>
      <w:tr>
        <w:tc>
          <w:tcPr>
            <w:tcW w:type="dxa" w:w="1728"/>
            <w:vMerge/>
          </w:tcPr>
          <w:p>
            <w:pPr>
              <w:spacing w:line="240" w:lineRule="auto"/>
            </w:pPr>
          </w:p>
        </w:tc>
        <w:tc>
          <w:tcPr>
            <w:tcW w:type="dxa" w:w="1728"/>
          </w:tcPr>
          <w:p>
            <w:pPr>
              <w:spacing w:line="240" w:lineRule="auto"/>
            </w:pPr>
            <w:r>
              <w:rPr>
                <w:sz w:val="18"/>
              </w:rPr>
              <w:t xml:space="preserve">Central monitoring studies </w:t>
            </w:r>
            <w:r>
              <w:rPr>
                <w:sz w:val="18"/>
                <w:vertAlign w:val="subscript"/>
              </w:rPr>
              <w:t>[28, 44]</w:t>
            </w:r>
          </w:p>
        </w:tc>
        <w:tc>
          <w:tcPr>
            <w:tcW w:type="dxa" w:w="1728"/>
          </w:tcPr>
          <w:p>
            <w:pPr>
              <w:spacing w:line="240" w:lineRule="auto"/>
            </w:pPr>
            <w:r>
              <w:rPr>
                <w:sz w:val="18"/>
              </w:rPr>
              <w:t>Part of on-site findings detectable centrally; improvement at 83% of sites flagged by statistical monitoring</w:t>
            </w:r>
          </w:p>
        </w:tc>
        <w:tc>
          <w:tcPr>
            <w:tcW w:type="dxa" w:w="1728"/>
          </w:tcPr>
          <w:p>
            <w:pPr>
              <w:spacing w:line="240" w:lineRule="auto"/>
            </w:pPr>
            <w:r>
              <w:rPr>
                <w:sz w:val="18"/>
              </w:rPr>
              <w:t>Sponsor or vendor, during conduct</w:t>
            </w:r>
          </w:p>
        </w:tc>
        <w:tc>
          <w:tcPr>
            <w:tcW w:type="dxa" w:w="1728"/>
          </w:tcPr>
          <w:p>
            <w:pPr>
              <w:spacing w:line="240" w:lineRule="auto"/>
            </w:pPr>
            <w:r>
              <w:rPr>
                <w:sz w:val="18"/>
              </w:rPr>
              <w:t>A signal returned to the site was followed by improvement; the framework produces the signal inside the site</w:t>
            </w:r>
          </w:p>
        </w:tc>
      </w:tr>
      <w:tr>
        <w:tc>
          <w:tcPr>
            <w:tcW w:type="dxa" w:w="1728"/>
            <w:vMerge w:val="restart"/>
            <w:shd w:val="clear" w:color="auto" w:fill="F2F2F2"/>
          </w:tcPr>
          <w:p>
            <w:pPr>
              <w:spacing w:line="240" w:lineRule="auto"/>
            </w:pPr>
            <w:r>
              <w:rPr>
                <w:b/>
                <w:sz w:val="18"/>
              </w:rPr>
              <w:t>Surgical quality assurance and surgical innovation</w:t>
            </w:r>
          </w:p>
        </w:tc>
        <w:tc>
          <w:tcPr>
            <w:tcW w:type="dxa" w:w="1728"/>
          </w:tcPr>
          <w:p>
            <w:pPr>
              <w:spacing w:line="240" w:lineRule="auto"/>
            </w:pPr>
            <w:r>
              <w:rPr>
                <w:sz w:val="18"/>
              </w:rPr>
              <w:t xml:space="preserve">IDEAL recommendations </w:t>
            </w:r>
            <w:r>
              <w:rPr>
                <w:sz w:val="18"/>
                <w:vertAlign w:val="subscript"/>
              </w:rPr>
              <w:t>[18]</w:t>
            </w:r>
          </w:p>
        </w:tc>
        <w:tc>
          <w:tcPr>
            <w:tcW w:type="dxa" w:w="1728"/>
          </w:tcPr>
          <w:p>
            <w:pPr>
              <w:spacing w:line="240" w:lineRule="auto"/>
            </w:pPr>
            <w:r>
              <w:rPr>
                <w:sz w:val="18"/>
              </w:rPr>
              <w:t>Staged evaluation of surgical innovation, with learning curves followed by statistical process control</w:t>
            </w:r>
          </w:p>
        </w:tc>
        <w:tc>
          <w:tcPr>
            <w:tcW w:type="dxa" w:w="1728"/>
          </w:tcPr>
          <w:p>
            <w:pPr>
              <w:spacing w:line="240" w:lineRule="auto"/>
            </w:pPr>
            <w:r>
              <w:rPr>
                <w:sz w:val="18"/>
              </w:rPr>
              <w:t>Researchers designing evaluations</w:t>
            </w:r>
          </w:p>
        </w:tc>
        <w:tc>
          <w:tcPr>
            <w:tcW w:type="dxa" w:w="1728"/>
          </w:tcPr>
          <w:p>
            <w:pPr>
              <w:spacing w:line="240" w:lineRule="auto"/>
            </w:pPr>
            <w:r>
              <w:rPr>
                <w:sz w:val="18"/>
              </w:rPr>
              <w:t>Names the problem the SLCT addresses, at the level of study design</w:t>
            </w:r>
          </w:p>
        </w:tc>
      </w:tr>
      <w:tr>
        <w:tc>
          <w:tcPr>
            <w:tcW w:type="dxa" w:w="1728"/>
            <w:vMerge/>
          </w:tcPr>
          <w:p>
            <w:pPr>
              <w:spacing w:line="240" w:lineRule="auto"/>
            </w:pPr>
          </w:p>
        </w:tc>
        <w:tc>
          <w:tcPr>
            <w:tcW w:type="dxa" w:w="1728"/>
          </w:tcPr>
          <w:p>
            <w:pPr>
              <w:spacing w:line="240" w:lineRule="auto"/>
            </w:pPr>
            <w:r>
              <w:rPr>
                <w:sz w:val="18"/>
              </w:rPr>
              <w:t xml:space="preserve">Implantable device evidence framework </w:t>
            </w:r>
            <w:r>
              <w:rPr>
                <w:sz w:val="18"/>
                <w:vertAlign w:val="subscript"/>
              </w:rPr>
              <w:t>[19]</w:t>
            </w:r>
            <w:r>
              <w:rPr>
                <w:sz w:val="18"/>
              </w:rPr>
              <w:t xml:space="preserve">; CORE-MD recommendations </w:t>
            </w:r>
            <w:r>
              <w:rPr>
                <w:sz w:val="18"/>
                <w:vertAlign w:val="subscript"/>
              </w:rPr>
              <w:t>[17]</w:t>
            </w:r>
          </w:p>
        </w:tc>
        <w:tc>
          <w:tcPr>
            <w:tcW w:type="dxa" w:w="1728"/>
          </w:tcPr>
          <w:p>
            <w:pPr>
              <w:spacing w:line="240" w:lineRule="auto"/>
            </w:pPr>
            <w:r>
              <w:rPr>
                <w:sz w:val="18"/>
              </w:rPr>
              <w:t>Methodological issues of device studies, including learning curves and the interaction of operator, hospital, and patient</w:t>
            </w:r>
          </w:p>
        </w:tc>
        <w:tc>
          <w:tcPr>
            <w:tcW w:type="dxa" w:w="1728"/>
          </w:tcPr>
          <w:p>
            <w:pPr>
              <w:spacing w:line="240" w:lineRule="auto"/>
            </w:pPr>
            <w:r>
              <w:rPr>
                <w:sz w:val="18"/>
              </w:rPr>
              <w:t>Investigators and regulators, at design</w:t>
            </w:r>
          </w:p>
        </w:tc>
        <w:tc>
          <w:tcPr>
            <w:tcW w:type="dxa" w:w="1728"/>
          </w:tcPr>
          <w:p>
            <w:pPr>
              <w:spacing w:line="240" w:lineRule="auto"/>
            </w:pPr>
            <w:r>
              <w:rPr>
                <w:sz w:val="18"/>
              </w:rPr>
              <w:t>Same sources of variance, with no instrument for the site</w:t>
            </w:r>
          </w:p>
        </w:tc>
      </w:tr>
      <w:tr>
        <w:tc>
          <w:tcPr>
            <w:tcW w:type="dxa" w:w="1728"/>
            <w:vMerge/>
          </w:tcPr>
          <w:p>
            <w:pPr>
              <w:spacing w:line="240" w:lineRule="auto"/>
            </w:pPr>
          </w:p>
        </w:tc>
        <w:tc>
          <w:tcPr>
            <w:tcW w:type="dxa" w:w="1728"/>
          </w:tcPr>
          <w:p>
            <w:pPr>
              <w:spacing w:line="240" w:lineRule="auto"/>
            </w:pPr>
            <w:r>
              <w:rPr>
                <w:sz w:val="18"/>
              </w:rPr>
              <w:t xml:space="preserve">Review of challenges to surgical quality assurance </w:t>
            </w:r>
            <w:r>
              <w:rPr>
                <w:sz w:val="18"/>
                <w:vertAlign w:val="subscript"/>
              </w:rPr>
              <w:t>[35]</w:t>
            </w:r>
          </w:p>
        </w:tc>
        <w:tc>
          <w:tcPr>
            <w:tcW w:type="dxa" w:w="1728"/>
          </w:tcPr>
          <w:p>
            <w:pPr>
              <w:spacing w:line="240" w:lineRule="auto"/>
            </w:pPr>
            <w:r>
              <w:rPr>
                <w:sz w:val="18"/>
              </w:rPr>
              <w:t>Challenges grouped under credentialing and standardization, with monitoring as a third group</w:t>
            </w:r>
          </w:p>
        </w:tc>
        <w:tc>
          <w:tcPr>
            <w:tcW w:type="dxa" w:w="1728"/>
          </w:tcPr>
          <w:p>
            <w:pPr>
              <w:spacing w:line="240" w:lineRule="auto"/>
            </w:pPr>
            <w:r>
              <w:rPr>
                <w:sz w:val="18"/>
              </w:rPr>
              <w:t>Trial teams</w:t>
            </w:r>
          </w:p>
        </w:tc>
        <w:tc>
          <w:tcPr>
            <w:tcW w:type="dxa" w:w="1728"/>
          </w:tcPr>
          <w:p>
            <w:pPr>
              <w:spacing w:line="240" w:lineRule="auto"/>
            </w:pPr>
            <w:r>
              <w:rPr>
                <w:sz w:val="18"/>
              </w:rPr>
              <w:t>Monitoring is named as a domain and rarely put in place</w:t>
            </w:r>
          </w:p>
        </w:tc>
      </w:tr>
      <w:tr>
        <w:tc>
          <w:tcPr>
            <w:tcW w:type="dxa" w:w="1728"/>
            <w:vMerge/>
          </w:tcPr>
          <w:p>
            <w:pPr>
              <w:spacing w:line="240" w:lineRule="auto"/>
            </w:pPr>
          </w:p>
        </w:tc>
        <w:tc>
          <w:tcPr>
            <w:tcW w:type="dxa" w:w="1728"/>
          </w:tcPr>
          <w:p>
            <w:pPr>
              <w:spacing w:line="240" w:lineRule="auto"/>
            </w:pPr>
            <w:r>
              <w:rPr>
                <w:sz w:val="18"/>
              </w:rPr>
              <w:t xml:space="preserve">ROMIO protocol </w:t>
            </w:r>
            <w:r>
              <w:rPr>
                <w:sz w:val="18"/>
                <w:vertAlign w:val="subscript"/>
              </w:rPr>
              <w:t>[36]</w:t>
            </w:r>
            <w:r>
              <w:rPr>
                <w:sz w:val="18"/>
              </w:rPr>
              <w:t xml:space="preserve">; standardizing and monitoring surgical delivery </w:t>
            </w:r>
            <w:r>
              <w:rPr>
                <w:sz w:val="18"/>
                <w:vertAlign w:val="subscript"/>
              </w:rPr>
              <w:t>[59]</w:t>
            </w:r>
          </w:p>
        </w:tc>
        <w:tc>
          <w:tcPr>
            <w:tcW w:type="dxa" w:w="1728"/>
          </w:tcPr>
          <w:p>
            <w:pPr>
              <w:spacing w:line="240" w:lineRule="auto"/>
            </w:pPr>
            <w:r>
              <w:rPr>
                <w:sz w:val="18"/>
              </w:rPr>
              <w:t>Methods to define and standardize the surgical intervention, including assessment of operative video</w:t>
            </w:r>
          </w:p>
        </w:tc>
        <w:tc>
          <w:tcPr>
            <w:tcW w:type="dxa" w:w="1728"/>
          </w:tcPr>
          <w:p>
            <w:pPr>
              <w:spacing w:line="240" w:lineRule="auto"/>
            </w:pPr>
            <w:r>
              <w:rPr>
                <w:sz w:val="18"/>
              </w:rPr>
              <w:t>Trial team, mostly before and at entry</w:t>
            </w:r>
          </w:p>
        </w:tc>
        <w:tc>
          <w:tcPr>
            <w:tcW w:type="dxa" w:w="1728"/>
          </w:tcPr>
          <w:p>
            <w:pPr>
              <w:spacing w:line="240" w:lineRule="auto"/>
            </w:pPr>
            <w:r>
              <w:rPr>
                <w:sz w:val="18"/>
              </w:rPr>
              <w:t>The site delivers an intervention standardized for it by others</w:t>
            </w:r>
          </w:p>
        </w:tc>
      </w:tr>
      <w:tr>
        <w:tc>
          <w:tcPr>
            <w:tcW w:type="dxa" w:w="1728"/>
            <w:vMerge/>
          </w:tcPr>
          <w:p>
            <w:pPr>
              <w:spacing w:line="240" w:lineRule="auto"/>
            </w:pPr>
          </w:p>
        </w:tc>
        <w:tc>
          <w:tcPr>
            <w:tcW w:type="dxa" w:w="1728"/>
          </w:tcPr>
          <w:p>
            <w:pPr>
              <w:spacing w:line="240" w:lineRule="auto"/>
            </w:pPr>
            <w:r>
              <w:rPr>
                <w:sz w:val="18"/>
              </w:rPr>
              <w:t xml:space="preserve">SQA-Onc. Delphi </w:t>
            </w:r>
            <w:r>
              <w:rPr>
                <w:sz w:val="18"/>
                <w:vertAlign w:val="subscript"/>
              </w:rPr>
              <w:t>[37]</w:t>
            </w:r>
          </w:p>
        </w:tc>
        <w:tc>
          <w:tcPr>
            <w:tcW w:type="dxa" w:w="1728"/>
          </w:tcPr>
          <w:p>
            <w:pPr>
              <w:spacing w:line="240" w:lineRule="auto"/>
            </w:pPr>
            <w:r>
              <w:rPr>
                <w:sz w:val="18"/>
              </w:rPr>
              <w:t>59 consensus strategies, 14 accepted within an active trial, with operative monitoring by photograph or video</w:t>
            </w:r>
          </w:p>
        </w:tc>
        <w:tc>
          <w:tcPr>
            <w:tcW w:type="dxa" w:w="1728"/>
          </w:tcPr>
          <w:p>
            <w:pPr>
              <w:spacing w:line="240" w:lineRule="auto"/>
            </w:pPr>
            <w:r>
              <w:rPr>
                <w:sz w:val="18"/>
              </w:rPr>
              <w:t>Trial team and external assessors</w:t>
            </w:r>
          </w:p>
        </w:tc>
        <w:tc>
          <w:tcPr>
            <w:tcW w:type="dxa" w:w="1728"/>
          </w:tcPr>
          <w:p>
            <w:pPr>
              <w:spacing w:line="240" w:lineRule="auto"/>
            </w:pPr>
            <w:r>
              <w:rPr>
                <w:sz w:val="18"/>
              </w:rPr>
              <w:t>Monitoring by review of operative material outside the site</w:t>
            </w:r>
          </w:p>
        </w:tc>
      </w:tr>
      <w:tr>
        <w:tc>
          <w:tcPr>
            <w:tcW w:type="dxa" w:w="1728"/>
            <w:vMerge/>
          </w:tcPr>
          <w:p>
            <w:pPr>
              <w:spacing w:line="240" w:lineRule="auto"/>
            </w:pPr>
          </w:p>
        </w:tc>
        <w:tc>
          <w:tcPr>
            <w:tcW w:type="dxa" w:w="1728"/>
          </w:tcPr>
          <w:p>
            <w:pPr>
              <w:spacing w:line="240" w:lineRule="auto"/>
            </w:pPr>
            <w:r>
              <w:rPr>
                <w:sz w:val="18"/>
              </w:rPr>
              <w:t xml:space="preserve">SQA checklist for gastrointestinal surgery </w:t>
            </w:r>
            <w:r>
              <w:rPr>
                <w:sz w:val="18"/>
                <w:vertAlign w:val="subscript"/>
              </w:rPr>
              <w:t>[38]</w:t>
            </w:r>
          </w:p>
        </w:tc>
        <w:tc>
          <w:tcPr>
            <w:tcW w:type="dxa" w:w="1728"/>
          </w:tcPr>
          <w:p>
            <w:pPr>
              <w:spacing w:line="240" w:lineRule="auto"/>
            </w:pPr>
            <w:r>
              <w:rPr>
                <w:sz w:val="18"/>
              </w:rPr>
              <w:t>A 13-item checklist for planning surgical quality assurance</w:t>
            </w:r>
          </w:p>
        </w:tc>
        <w:tc>
          <w:tcPr>
            <w:tcW w:type="dxa" w:w="1728"/>
          </w:tcPr>
          <w:p>
            <w:pPr>
              <w:spacing w:line="240" w:lineRule="auto"/>
            </w:pPr>
            <w:r>
              <w:rPr>
                <w:sz w:val="18"/>
              </w:rPr>
              <w:t>Trial designers</w:t>
            </w:r>
          </w:p>
        </w:tc>
        <w:tc>
          <w:tcPr>
            <w:tcW w:type="dxa" w:w="1728"/>
          </w:tcPr>
          <w:p>
            <w:pPr>
              <w:spacing w:line="240" w:lineRule="auto"/>
            </w:pPr>
            <w:r>
              <w:rPr>
                <w:sz w:val="18"/>
              </w:rPr>
              <w:t>A planning tool for the trial</w:t>
            </w:r>
          </w:p>
        </w:tc>
      </w:tr>
      <w:tr>
        <w:tc>
          <w:tcPr>
            <w:tcW w:type="dxa" w:w="1728"/>
            <w:vMerge/>
          </w:tcPr>
          <w:p>
            <w:pPr>
              <w:spacing w:line="240" w:lineRule="auto"/>
            </w:pPr>
          </w:p>
        </w:tc>
        <w:tc>
          <w:tcPr>
            <w:tcW w:type="dxa" w:w="1728"/>
          </w:tcPr>
          <w:p>
            <w:pPr>
              <w:spacing w:line="240" w:lineRule="auto"/>
            </w:pPr>
            <w:r>
              <w:rPr>
                <w:sz w:val="18"/>
              </w:rPr>
              <w:t xml:space="preserve">Arteriovenous graft review </w:t>
            </w:r>
            <w:r>
              <w:rPr>
                <w:sz w:val="18"/>
                <w:vertAlign w:val="subscript"/>
              </w:rPr>
              <w:t>[39]</w:t>
            </w:r>
          </w:p>
        </w:tc>
        <w:tc>
          <w:tcPr>
            <w:tcW w:type="dxa" w:w="1728"/>
          </w:tcPr>
          <w:p>
            <w:pPr>
              <w:spacing w:line="240" w:lineRule="auto"/>
            </w:pPr>
            <w:r>
              <w:rPr>
                <w:sz w:val="18"/>
              </w:rPr>
              <w:t>Highly variable quality assurance, with no trial holding a defined pre-trial monitoring program or assessing technical performance</w:t>
            </w:r>
          </w:p>
        </w:tc>
        <w:tc>
          <w:tcPr>
            <w:tcW w:type="dxa" w:w="1728"/>
          </w:tcPr>
          <w:p>
            <w:pPr>
              <w:spacing w:line="240" w:lineRule="auto"/>
            </w:pPr>
            <w:r>
              <w:rPr>
                <w:sz w:val="18"/>
              </w:rPr>
              <w:t>Descriptive review</w:t>
            </w:r>
          </w:p>
        </w:tc>
        <w:tc>
          <w:tcPr>
            <w:tcW w:type="dxa" w:w="1728"/>
          </w:tcPr>
          <w:p>
            <w:pPr>
              <w:spacing w:line="240" w:lineRule="auto"/>
            </w:pPr>
            <w:r>
              <w:rPr>
                <w:sz w:val="18"/>
              </w:rPr>
              <w:t>Evidence, outside oncology, of the absence the SLCT answers</w:t>
            </w:r>
          </w:p>
        </w:tc>
      </w:tr>
      <w:tr>
        <w:tc>
          <w:tcPr>
            <w:tcW w:type="dxa" w:w="1728"/>
            <w:vMerge/>
          </w:tcPr>
          <w:p>
            <w:pPr>
              <w:spacing w:line="240" w:lineRule="auto"/>
            </w:pPr>
          </w:p>
        </w:tc>
        <w:tc>
          <w:tcPr>
            <w:tcW w:type="dxa" w:w="1728"/>
          </w:tcPr>
          <w:p>
            <w:pPr>
              <w:spacing w:line="240" w:lineRule="auto"/>
            </w:pPr>
            <w:r>
              <w:rPr>
                <w:sz w:val="18"/>
              </w:rPr>
              <w:t xml:space="preserve">Reviews and survey on learning and clustering </w:t>
            </w:r>
            <w:r>
              <w:rPr>
                <w:sz w:val="18"/>
                <w:vertAlign w:val="subscript"/>
              </w:rPr>
              <w:t>[70, 71, 72]</w:t>
            </w:r>
          </w:p>
        </w:tc>
        <w:tc>
          <w:tcPr>
            <w:tcW w:type="dxa" w:w="1728"/>
          </w:tcPr>
          <w:p>
            <w:pPr>
              <w:spacing w:line="240" w:lineRule="auto"/>
            </w:pPr>
            <w:r>
              <w:rPr>
                <w:sz w:val="18"/>
              </w:rPr>
              <w:t>Surgeon credentials predefined in 39% of 247 trials and learning analyzed in one; a minimum expertise level set by 89% of 44 trial units</w:t>
            </w:r>
          </w:p>
        </w:tc>
        <w:tc>
          <w:tcPr>
            <w:tcW w:type="dxa" w:w="1728"/>
          </w:tcPr>
          <w:p>
            <w:pPr>
              <w:spacing w:line="240" w:lineRule="auto"/>
            </w:pPr>
            <w:r>
              <w:rPr>
                <w:sz w:val="18"/>
              </w:rPr>
              <w:t>Trial statisticians and trial units</w:t>
            </w:r>
          </w:p>
        </w:tc>
        <w:tc>
          <w:tcPr>
            <w:tcW w:type="dxa" w:w="1728"/>
          </w:tcPr>
          <w:p>
            <w:pPr>
              <w:spacing w:line="240" w:lineRule="auto"/>
            </w:pPr>
            <w:r>
              <w:rPr>
                <w:sz w:val="18"/>
              </w:rPr>
              <w:t>Learning is handled at entry and at analysis, while the framework observes it during conduct</w:t>
            </w:r>
          </w:p>
        </w:tc>
      </w:tr>
      <w:tr>
        <w:tc>
          <w:tcPr>
            <w:tcW w:type="dxa" w:w="1728"/>
            <w:vMerge/>
          </w:tcPr>
          <w:p>
            <w:pPr>
              <w:spacing w:line="240" w:lineRule="auto"/>
            </w:pPr>
          </w:p>
        </w:tc>
        <w:tc>
          <w:tcPr>
            <w:tcW w:type="dxa" w:w="1728"/>
          </w:tcPr>
          <w:p>
            <w:pPr>
              <w:spacing w:line="240" w:lineRule="auto"/>
            </w:pPr>
            <w:r>
              <w:rPr>
                <w:sz w:val="18"/>
              </w:rPr>
              <w:t xml:space="preserve">Quality improvement in surgical oncology </w:t>
            </w:r>
            <w:r>
              <w:rPr>
                <w:sz w:val="18"/>
                <w:vertAlign w:val="subscript"/>
              </w:rPr>
              <w:t>[40]</w:t>
            </w:r>
          </w:p>
        </w:tc>
        <w:tc>
          <w:tcPr>
            <w:tcW w:type="dxa" w:w="1728"/>
          </w:tcPr>
          <w:p>
            <w:pPr>
              <w:spacing w:line="240" w:lineRule="auto"/>
            </w:pPr>
            <w:r>
              <w:rPr>
                <w:sz w:val="18"/>
              </w:rPr>
              <w:t>109 studies, with positive effects in 2 of 12 randomized trials and 86 of 97 non-randomized studies</w:t>
            </w:r>
          </w:p>
        </w:tc>
        <w:tc>
          <w:tcPr>
            <w:tcW w:type="dxa" w:w="1728"/>
          </w:tcPr>
          <w:p>
            <w:pPr>
              <w:spacing w:line="240" w:lineRule="auto"/>
            </w:pPr>
            <w:r>
              <w:rPr>
                <w:sz w:val="18"/>
              </w:rPr>
              <w:t>Hospitals and surgical teams</w:t>
            </w:r>
          </w:p>
        </w:tc>
        <w:tc>
          <w:tcPr>
            <w:tcW w:type="dxa" w:w="1728"/>
          </w:tcPr>
          <w:p>
            <w:pPr>
              <w:spacing w:line="240" w:lineRule="auto"/>
            </w:pPr>
            <w:r>
              <w:rPr>
                <w:sz w:val="18"/>
              </w:rPr>
              <w:t>A warning for the evaluation of this framework</w:t>
            </w:r>
          </w:p>
        </w:tc>
      </w:tr>
      <w:tr>
        <w:tc>
          <w:tcPr>
            <w:tcW w:type="dxa" w:w="1728"/>
            <w:vMerge w:val="restart"/>
            <w:shd w:val="clear" w:color="auto" w:fill="F2F2F2"/>
          </w:tcPr>
          <w:p>
            <w:pPr>
              <w:spacing w:line="240" w:lineRule="auto"/>
            </w:pPr>
            <w:r>
              <w:rPr>
                <w:b/>
                <w:sz w:val="18"/>
              </w:rPr>
              <w:t>Site capacity, readiness, and performance</w:t>
            </w:r>
          </w:p>
        </w:tc>
        <w:tc>
          <w:tcPr>
            <w:tcW w:type="dxa" w:w="1728"/>
          </w:tcPr>
          <w:p>
            <w:pPr>
              <w:spacing w:line="240" w:lineRule="auto"/>
            </w:pPr>
            <w:r>
              <w:rPr>
                <w:sz w:val="18"/>
              </w:rPr>
              <w:t xml:space="preserve">Site readiness framework </w:t>
            </w:r>
            <w:r>
              <w:rPr>
                <w:sz w:val="18"/>
                <w:vertAlign w:val="subscript"/>
              </w:rPr>
              <w:t>[29]</w:t>
            </w:r>
          </w:p>
        </w:tc>
        <w:tc>
          <w:tcPr>
            <w:tcW w:type="dxa" w:w="1728"/>
          </w:tcPr>
          <w:p>
            <w:pPr>
              <w:spacing w:line="240" w:lineRule="auto"/>
            </w:pPr>
            <w:r>
              <w:rPr>
                <w:sz w:val="18"/>
              </w:rPr>
              <w:t>Six domains of readiness, including quality oversight, built from sponsor qualifications</w:t>
            </w:r>
          </w:p>
        </w:tc>
        <w:tc>
          <w:tcPr>
            <w:tcW w:type="dxa" w:w="1728"/>
          </w:tcPr>
          <w:p>
            <w:pPr>
              <w:spacing w:line="240" w:lineRule="auto"/>
            </w:pPr>
            <w:r>
              <w:rPr>
                <w:sz w:val="18"/>
              </w:rPr>
              <w:t>Sites preparing to enter research, and sponsors</w:t>
            </w:r>
          </w:p>
        </w:tc>
        <w:tc>
          <w:tcPr>
            <w:tcW w:type="dxa" w:w="1728"/>
          </w:tcPr>
          <w:p>
            <w:pPr>
              <w:spacing w:line="240" w:lineRule="auto"/>
            </w:pPr>
            <w:r>
              <w:rPr>
                <w:sz w:val="18"/>
              </w:rPr>
              <w:t>Readiness to be selected, with quality oversight as one domain of six</w:t>
            </w:r>
          </w:p>
        </w:tc>
      </w:tr>
      <w:tr>
        <w:tc>
          <w:tcPr>
            <w:tcW w:type="dxa" w:w="1728"/>
            <w:vMerge/>
          </w:tcPr>
          <w:p>
            <w:pPr>
              <w:spacing w:line="240" w:lineRule="auto"/>
            </w:pPr>
          </w:p>
        </w:tc>
        <w:tc>
          <w:tcPr>
            <w:tcW w:type="dxa" w:w="1728"/>
          </w:tcPr>
          <w:p>
            <w:pPr>
              <w:spacing w:line="240" w:lineRule="auto"/>
            </w:pPr>
            <w:r>
              <w:rPr>
                <w:sz w:val="18"/>
              </w:rPr>
              <w:t xml:space="preserve">CTAIM </w:t>
            </w:r>
            <w:r>
              <w:rPr>
                <w:sz w:val="18"/>
                <w:vertAlign w:val="subscript"/>
              </w:rPr>
              <w:t>[30]</w:t>
            </w:r>
          </w:p>
        </w:tc>
        <w:tc>
          <w:tcPr>
            <w:tcW w:type="dxa" w:w="1728"/>
          </w:tcPr>
          <w:p>
            <w:pPr>
              <w:spacing w:line="240" w:lineRule="auto"/>
            </w:pPr>
            <w:r>
              <w:rPr>
                <w:sz w:val="18"/>
              </w:rPr>
              <w:t>Eleven infrastructure attributes scored in annual self-assessment by community research programs</w:t>
            </w:r>
          </w:p>
        </w:tc>
        <w:tc>
          <w:tcPr>
            <w:tcW w:type="dxa" w:w="1728"/>
          </w:tcPr>
          <w:p>
            <w:pPr>
              <w:spacing w:line="240" w:lineRule="auto"/>
            </w:pPr>
            <w:r>
              <w:rPr>
                <w:sz w:val="18"/>
              </w:rPr>
              <w:t>Site, yearly</w:t>
            </w:r>
          </w:p>
        </w:tc>
        <w:tc>
          <w:tcPr>
            <w:tcW w:type="dxa" w:w="1728"/>
          </w:tcPr>
          <w:p>
            <w:pPr>
              <w:spacing w:line="240" w:lineRule="auto"/>
            </w:pPr>
            <w:r>
              <w:rPr>
                <w:sz w:val="18"/>
              </w:rPr>
              <w:t>The closest site-operated precedent, assessing the program's infrastructure across studies</w:t>
            </w:r>
          </w:p>
        </w:tc>
      </w:tr>
      <w:tr>
        <w:tc>
          <w:tcPr>
            <w:tcW w:type="dxa" w:w="1728"/>
            <w:vMerge/>
          </w:tcPr>
          <w:p>
            <w:pPr>
              <w:spacing w:line="240" w:lineRule="auto"/>
            </w:pPr>
          </w:p>
        </w:tc>
        <w:tc>
          <w:tcPr>
            <w:tcW w:type="dxa" w:w="1728"/>
          </w:tcPr>
          <w:p>
            <w:pPr>
              <w:spacing w:line="240" w:lineRule="auto"/>
            </w:pPr>
            <w:r>
              <w:rPr>
                <w:sz w:val="18"/>
              </w:rPr>
              <w:t xml:space="preserve">ISO 9001:2015 in Italian trial centers </w:t>
            </w:r>
            <w:r>
              <w:rPr>
                <w:sz w:val="18"/>
                <w:vertAlign w:val="subscript"/>
              </w:rPr>
              <w:t>[31]</w:t>
            </w:r>
          </w:p>
        </w:tc>
        <w:tc>
          <w:tcPr>
            <w:tcW w:type="dxa" w:w="1728"/>
          </w:tcPr>
          <w:p>
            <w:pPr>
              <w:spacing w:line="240" w:lineRule="auto"/>
            </w:pPr>
            <w:r>
              <w:rPr>
                <w:sz w:val="18"/>
              </w:rPr>
              <w:t>Expected benefits and barriers of certification, led by organizational workload and insufficient training</w:t>
            </w:r>
          </w:p>
        </w:tc>
        <w:tc>
          <w:tcPr>
            <w:tcW w:type="dxa" w:w="1728"/>
          </w:tcPr>
          <w:p>
            <w:pPr>
              <w:spacing w:line="240" w:lineRule="auto"/>
            </w:pPr>
            <w:r>
              <w:rPr>
                <w:sz w:val="18"/>
              </w:rPr>
              <w:t>Site, with external certification</w:t>
            </w:r>
          </w:p>
        </w:tc>
        <w:tc>
          <w:tcPr>
            <w:tcW w:type="dxa" w:w="1728"/>
          </w:tcPr>
          <w:p>
            <w:pPr>
              <w:spacing w:line="240" w:lineRule="auto"/>
            </w:pPr>
            <w:r>
              <w:rPr>
                <w:sz w:val="18"/>
              </w:rPr>
              <w:t>A generic quality system without the CtQ content of a device investigation</w:t>
            </w:r>
          </w:p>
        </w:tc>
      </w:tr>
      <w:tr>
        <w:tc>
          <w:tcPr>
            <w:tcW w:type="dxa" w:w="1728"/>
            <w:vMerge/>
          </w:tcPr>
          <w:p>
            <w:pPr>
              <w:spacing w:line="240" w:lineRule="auto"/>
            </w:pPr>
          </w:p>
        </w:tc>
        <w:tc>
          <w:tcPr>
            <w:tcW w:type="dxa" w:w="1728"/>
          </w:tcPr>
          <w:p>
            <w:pPr>
              <w:spacing w:line="240" w:lineRule="auto"/>
            </w:pPr>
            <w:r>
              <w:rPr>
                <w:sz w:val="18"/>
              </w:rPr>
              <w:t xml:space="preserve">Clinical Trial Site Performance Measure </w:t>
            </w:r>
            <w:r>
              <w:rPr>
                <w:sz w:val="18"/>
                <w:vertAlign w:val="subscript"/>
              </w:rPr>
              <w:t>[41]</w:t>
            </w:r>
          </w:p>
        </w:tc>
        <w:tc>
          <w:tcPr>
            <w:tcW w:type="dxa" w:w="1728"/>
          </w:tcPr>
          <w:p>
            <w:pPr>
              <w:spacing w:line="240" w:lineRule="auto"/>
            </w:pPr>
            <w:r>
              <w:rPr>
                <w:sz w:val="18"/>
              </w:rPr>
              <w:t>18 indicators in four domains, reduced from 126, and a four-item short form that identifies underperforming sites</w:t>
            </w:r>
          </w:p>
        </w:tc>
        <w:tc>
          <w:tcPr>
            <w:tcW w:type="dxa" w:w="1728"/>
          </w:tcPr>
          <w:p>
            <w:pPr>
              <w:spacing w:line="240" w:lineRule="auto"/>
            </w:pPr>
            <w:r>
              <w:rPr>
                <w:sz w:val="18"/>
              </w:rPr>
              <w:t>External assessor or network</w:t>
            </w:r>
          </w:p>
        </w:tc>
        <w:tc>
          <w:tcPr>
            <w:tcW w:type="dxa" w:w="1728"/>
          </w:tcPr>
          <w:p>
            <w:pPr>
              <w:spacing w:line="240" w:lineRule="auto"/>
            </w:pPr>
            <w:r>
              <w:rPr>
                <w:sz w:val="18"/>
              </w:rPr>
              <w:t>Four domains correspond to four of our six indicators; the measure compares sites</w:t>
            </w:r>
          </w:p>
        </w:tc>
      </w:tr>
      <w:tr>
        <w:tc>
          <w:tcPr>
            <w:tcW w:type="dxa" w:w="1728"/>
            <w:vMerge/>
          </w:tcPr>
          <w:p>
            <w:pPr>
              <w:spacing w:line="240" w:lineRule="auto"/>
            </w:pPr>
          </w:p>
        </w:tc>
        <w:tc>
          <w:tcPr>
            <w:tcW w:type="dxa" w:w="1728"/>
          </w:tcPr>
          <w:p>
            <w:pPr>
              <w:spacing w:line="240" w:lineRule="auto"/>
            </w:pPr>
            <w:r>
              <w:rPr>
                <w:sz w:val="18"/>
              </w:rPr>
              <w:t xml:space="preserve">Academic trial unit services </w:t>
            </w:r>
            <w:r>
              <w:rPr>
                <w:sz w:val="18"/>
                <w:vertAlign w:val="subscript"/>
              </w:rPr>
              <w:t>[90]</w:t>
            </w:r>
            <w:r>
              <w:rPr>
                <w:sz w:val="18"/>
              </w:rPr>
              <w:t xml:space="preserve">; institutional research management system </w:t>
            </w:r>
            <w:r>
              <w:rPr>
                <w:sz w:val="18"/>
                <w:vertAlign w:val="subscript"/>
              </w:rPr>
              <w:t>[89]</w:t>
            </w:r>
          </w:p>
        </w:tc>
        <w:tc>
          <w:tcPr>
            <w:tcW w:type="dxa" w:w="1728"/>
          </w:tcPr>
          <w:p>
            <w:pPr>
              <w:spacing w:line="240" w:lineRule="auto"/>
            </w:pPr>
            <w:r>
              <w:rPr>
                <w:sz w:val="18"/>
              </w:rPr>
              <w:t>Quality management ranked as an essential service of trial units; institutional metrics drawn from a research management system</w:t>
            </w:r>
          </w:p>
        </w:tc>
        <w:tc>
          <w:tcPr>
            <w:tcW w:type="dxa" w:w="1728"/>
          </w:tcPr>
          <w:p>
            <w:pPr>
              <w:spacing w:line="240" w:lineRule="auto"/>
            </w:pPr>
            <w:r>
              <w:rPr>
                <w:sz w:val="18"/>
              </w:rPr>
              <w:t>Academic institutions</w:t>
            </w:r>
          </w:p>
        </w:tc>
        <w:tc>
          <w:tcPr>
            <w:tcW w:type="dxa" w:w="1728"/>
          </w:tcPr>
          <w:p>
            <w:pPr>
              <w:spacing w:line="240" w:lineRule="auto"/>
            </w:pPr>
            <w:r>
              <w:rPr>
                <w:sz w:val="18"/>
              </w:rPr>
              <w:t>Infrastructure the target center lacks and the academic level can refer to</w:t>
            </w:r>
          </w:p>
        </w:tc>
      </w:tr>
      <w:tr>
        <w:tc>
          <w:tcPr>
            <w:tcW w:type="dxa" w:w="1728"/>
            <w:vMerge/>
          </w:tcPr>
          <w:p>
            <w:pPr>
              <w:spacing w:line="240" w:lineRule="auto"/>
            </w:pPr>
          </w:p>
        </w:tc>
        <w:tc>
          <w:tcPr>
            <w:tcW w:type="dxa" w:w="1728"/>
          </w:tcPr>
          <w:p>
            <w:pPr>
              <w:spacing w:line="240" w:lineRule="auto"/>
            </w:pPr>
            <w:r>
              <w:rPr>
                <w:sz w:val="18"/>
              </w:rPr>
              <w:t xml:space="preserve">Primer on establishing a trial site </w:t>
            </w:r>
            <w:r>
              <w:rPr>
                <w:sz w:val="18"/>
                <w:vertAlign w:val="subscript"/>
              </w:rPr>
              <w:t>[74]</w:t>
            </w:r>
            <w:r>
              <w:rPr>
                <w:sz w:val="18"/>
              </w:rPr>
              <w:t xml:space="preserve">; role of the site PI </w:t>
            </w:r>
            <w:r>
              <w:rPr>
                <w:sz w:val="18"/>
                <w:vertAlign w:val="subscript"/>
              </w:rPr>
              <w:t>[73]</w:t>
            </w:r>
            <w:r>
              <w:rPr>
                <w:sz w:val="18"/>
              </w:rPr>
              <w:t xml:space="preserve">; guide for migrating sites to ICH E6(R3) </w:t>
            </w:r>
            <w:r>
              <w:rPr>
                <w:sz w:val="18"/>
                <w:vertAlign w:val="subscript"/>
              </w:rPr>
              <w:t>[86]</w:t>
            </w:r>
          </w:p>
        </w:tc>
        <w:tc>
          <w:tcPr>
            <w:tcW w:type="dxa" w:w="1728"/>
          </w:tcPr>
          <w:p>
            <w:pPr>
              <w:spacing w:line="240" w:lineRule="auto"/>
            </w:pPr>
            <w:r>
              <w:rPr>
                <w:sz w:val="18"/>
              </w:rPr>
              <w:t>What a new site has to assemble, the workload of site PIs, and practical steps toward E6(R3)</w:t>
            </w:r>
          </w:p>
        </w:tc>
        <w:tc>
          <w:tcPr>
            <w:tcW w:type="dxa" w:w="1728"/>
          </w:tcPr>
          <w:p>
            <w:pPr>
              <w:spacing w:line="240" w:lineRule="auto"/>
            </w:pPr>
            <w:r>
              <w:rPr>
                <w:sz w:val="18"/>
              </w:rPr>
              <w:t>Sites</w:t>
            </w:r>
          </w:p>
        </w:tc>
        <w:tc>
          <w:tcPr>
            <w:tcW w:type="dxa" w:w="1728"/>
          </w:tcPr>
          <w:p>
            <w:pPr>
              <w:spacing w:line="240" w:lineRule="auto"/>
            </w:pPr>
            <w:r>
              <w:rPr>
                <w:sz w:val="18"/>
              </w:rPr>
              <w:t>Describe what a site needs without a structure organized around the CtQ domains of a device investigation</w:t>
            </w:r>
          </w:p>
        </w:tc>
      </w:tr>
      <w:tr>
        <w:tc>
          <w:tcPr>
            <w:tcW w:type="dxa" w:w="1728"/>
            <w:vMerge w:val="restart"/>
            <w:shd w:val="clear" w:color="auto" w:fill="F2F2F2"/>
          </w:tcPr>
          <w:p>
            <w:pPr>
              <w:spacing w:line="240" w:lineRule="auto"/>
            </w:pPr>
            <w:r>
              <w:rPr>
                <w:b/>
                <w:sz w:val="18"/>
              </w:rPr>
              <w:t>Empirical studies of site practice</w:t>
            </w:r>
          </w:p>
        </w:tc>
        <w:tc>
          <w:tcPr>
            <w:tcW w:type="dxa" w:w="1728"/>
          </w:tcPr>
          <w:p>
            <w:pPr>
              <w:spacing w:line="240" w:lineRule="auto"/>
            </w:pPr>
            <w:r>
              <w:rPr>
                <w:sz w:val="18"/>
              </w:rPr>
              <w:t xml:space="preserve">Data quality management in Australian trials </w:t>
            </w:r>
            <w:r>
              <w:rPr>
                <w:sz w:val="18"/>
                <w:vertAlign w:val="subscript"/>
              </w:rPr>
              <w:t>[42]</w:t>
            </w:r>
          </w:p>
        </w:tc>
        <w:tc>
          <w:tcPr>
            <w:tcW w:type="dxa" w:w="1728"/>
          </w:tcPr>
          <w:p>
            <w:pPr>
              <w:spacing w:line="240" w:lineRule="auto"/>
            </w:pPr>
            <w:r>
              <w:rPr>
                <w:sz w:val="18"/>
              </w:rPr>
              <w:t>Ad hoc methods, with half of the responding trials holding a data management plan</w:t>
            </w:r>
          </w:p>
        </w:tc>
        <w:tc>
          <w:tcPr>
            <w:tcW w:type="dxa" w:w="1728"/>
          </w:tcPr>
          <w:p>
            <w:pPr>
              <w:spacing w:line="240" w:lineRule="auto"/>
            </w:pPr>
            <w:r>
              <w:rPr>
                <w:sz w:val="18"/>
              </w:rPr>
              <w:t>Descriptive survey</w:t>
            </w:r>
          </w:p>
        </w:tc>
        <w:tc>
          <w:tcPr>
            <w:tcW w:type="dxa" w:w="1728"/>
          </w:tcPr>
          <w:p>
            <w:pPr>
              <w:spacing w:line="240" w:lineRule="auto"/>
            </w:pPr>
            <w:r>
              <w:rPr>
                <w:sz w:val="18"/>
              </w:rPr>
              <w:t>Supports the absence of a standard site method</w:t>
            </w:r>
          </w:p>
        </w:tc>
      </w:tr>
      <w:tr>
        <w:tc>
          <w:tcPr>
            <w:tcW w:type="dxa" w:w="1728"/>
            <w:vMerge/>
          </w:tcPr>
          <w:p>
            <w:pPr>
              <w:spacing w:line="240" w:lineRule="auto"/>
            </w:pPr>
          </w:p>
        </w:tc>
        <w:tc>
          <w:tcPr>
            <w:tcW w:type="dxa" w:w="1728"/>
          </w:tcPr>
          <w:p>
            <w:pPr>
              <w:spacing w:line="240" w:lineRule="auto"/>
            </w:pPr>
            <w:r>
              <w:rPr>
                <w:sz w:val="18"/>
              </w:rPr>
              <w:t xml:space="preserve">Monitoring linked to quality management principles </w:t>
            </w:r>
            <w:r>
              <w:rPr>
                <w:sz w:val="18"/>
                <w:vertAlign w:val="subscript"/>
              </w:rPr>
              <w:t>[43]</w:t>
            </w:r>
          </w:p>
        </w:tc>
        <w:tc>
          <w:tcPr>
            <w:tcW w:type="dxa" w:w="1728"/>
          </w:tcPr>
          <w:p>
            <w:pPr>
              <w:spacing w:line="240" w:lineRule="auto"/>
            </w:pPr>
            <w:r>
              <w:rPr>
                <w:sz w:val="18"/>
              </w:rPr>
              <w:t>Risk-based monitoring is adequate only when prerequisites at the site are met</w:t>
            </w:r>
          </w:p>
        </w:tc>
        <w:tc>
          <w:tcPr>
            <w:tcW w:type="dxa" w:w="1728"/>
          </w:tcPr>
          <w:p>
            <w:pPr>
              <w:spacing w:line="240" w:lineRule="auto"/>
            </w:pPr>
            <w:r>
              <w:rPr>
                <w:sz w:val="18"/>
              </w:rPr>
              <w:t>Commentary</w:t>
            </w:r>
          </w:p>
        </w:tc>
        <w:tc>
          <w:tcPr>
            <w:tcW w:type="dxa" w:w="1728"/>
          </w:tcPr>
          <w:p>
            <w:pPr>
              <w:spacing w:line="240" w:lineRule="auto"/>
            </w:pPr>
            <w:r>
              <w:rPr>
                <w:sz w:val="18"/>
              </w:rPr>
              <w:t>Names the site prerequisite the framework builds</w:t>
            </w:r>
          </w:p>
        </w:tc>
      </w:tr>
      <w:tr>
        <w:tc>
          <w:tcPr>
            <w:tcW w:type="dxa" w:w="1728"/>
            <w:vMerge/>
          </w:tcPr>
          <w:p>
            <w:pPr>
              <w:spacing w:line="240" w:lineRule="auto"/>
            </w:pPr>
          </w:p>
        </w:tc>
        <w:tc>
          <w:tcPr>
            <w:tcW w:type="dxa" w:w="1728"/>
          </w:tcPr>
          <w:p>
            <w:pPr>
              <w:spacing w:line="240" w:lineRule="auto"/>
            </w:pPr>
            <w:r>
              <w:rPr>
                <w:sz w:val="18"/>
              </w:rPr>
              <w:t xml:space="preserve">Adverse event reporting in a pediatric oncology network </w:t>
            </w:r>
            <w:r>
              <w:rPr>
                <w:sz w:val="18"/>
                <w:vertAlign w:val="subscript"/>
              </w:rPr>
              <w:t>[45]</w:t>
            </w:r>
          </w:p>
        </w:tc>
        <w:tc>
          <w:tcPr>
            <w:tcW w:type="dxa" w:w="1728"/>
          </w:tcPr>
          <w:p>
            <w:pPr>
              <w:spacing w:line="240" w:lineRule="auto"/>
            </w:pPr>
            <w:r>
              <w:rPr>
                <w:sz w:val="18"/>
              </w:rPr>
              <w:t>Standardized ascertainment at 51.2% of respondents, with smaller sites tracking events on paper</w:t>
            </w:r>
          </w:p>
        </w:tc>
        <w:tc>
          <w:tcPr>
            <w:tcW w:type="dxa" w:w="1728"/>
          </w:tcPr>
          <w:p>
            <w:pPr>
              <w:spacing w:line="240" w:lineRule="auto"/>
            </w:pPr>
            <w:r>
              <w:rPr>
                <w:sz w:val="18"/>
              </w:rPr>
              <w:t>Descriptive survey</w:t>
            </w:r>
          </w:p>
        </w:tc>
        <w:tc>
          <w:tcPr>
            <w:tcW w:type="dxa" w:w="1728"/>
          </w:tcPr>
          <w:p>
            <w:pPr>
              <w:spacing w:line="240" w:lineRule="auto"/>
            </w:pPr>
            <w:r>
              <w:rPr>
                <w:sz w:val="18"/>
              </w:rPr>
              <w:t>Supports the design of the safety records and the paper floor</w:t>
            </w:r>
          </w:p>
        </w:tc>
      </w:tr>
      <w:tr>
        <w:tc>
          <w:tcPr>
            <w:tcW w:type="dxa" w:w="1728"/>
            <w:vMerge/>
          </w:tcPr>
          <w:p>
            <w:pPr>
              <w:spacing w:line="240" w:lineRule="auto"/>
            </w:pPr>
          </w:p>
        </w:tc>
        <w:tc>
          <w:tcPr>
            <w:tcW w:type="dxa" w:w="1728"/>
          </w:tcPr>
          <w:p>
            <w:pPr>
              <w:spacing w:line="240" w:lineRule="auto"/>
            </w:pPr>
            <w:r>
              <w:rPr>
                <w:sz w:val="18"/>
              </w:rPr>
              <w:t xml:space="preserve">Perceptions of risk-based monitoring </w:t>
            </w:r>
            <w:r>
              <w:rPr>
                <w:sz w:val="18"/>
                <w:vertAlign w:val="subscript"/>
              </w:rPr>
              <w:t>[46, 47]</w:t>
            </w:r>
          </w:p>
        </w:tc>
        <w:tc>
          <w:tcPr>
            <w:tcW w:type="dxa" w:w="1728"/>
          </w:tcPr>
          <w:p>
            <w:pPr>
              <w:spacing w:line="240" w:lineRule="auto"/>
            </w:pPr>
            <w:r>
              <w:rPr>
                <w:sz w:val="18"/>
              </w:rPr>
              <w:t>Site staff meet risk-based monitoring through the sponsor and ask for training</w:t>
            </w:r>
          </w:p>
        </w:tc>
        <w:tc>
          <w:tcPr>
            <w:tcW w:type="dxa" w:w="1728"/>
          </w:tcPr>
          <w:p>
            <w:pPr>
              <w:spacing w:line="240" w:lineRule="auto"/>
            </w:pPr>
            <w:r>
              <w:rPr>
                <w:sz w:val="18"/>
              </w:rPr>
              <w:t>Survey and review</w:t>
            </w:r>
          </w:p>
        </w:tc>
        <w:tc>
          <w:tcPr>
            <w:tcW w:type="dxa" w:w="1728"/>
          </w:tcPr>
          <w:p>
            <w:pPr>
              <w:spacing w:line="240" w:lineRule="auto"/>
            </w:pPr>
            <w:r>
              <w:rPr>
                <w:sz w:val="18"/>
              </w:rPr>
              <w:t>The site takes part in risk-based quality management as a recipient</w:t>
            </w:r>
          </w:p>
        </w:tc>
      </w:tr>
      <w:tr>
        <w:tc>
          <w:tcPr>
            <w:tcW w:type="dxa" w:w="1728"/>
            <w:vMerge/>
          </w:tcPr>
          <w:p>
            <w:pPr>
              <w:spacing w:line="240" w:lineRule="auto"/>
            </w:pPr>
          </w:p>
        </w:tc>
        <w:tc>
          <w:tcPr>
            <w:tcW w:type="dxa" w:w="1728"/>
          </w:tcPr>
          <w:p>
            <w:pPr>
              <w:spacing w:line="240" w:lineRule="auto"/>
            </w:pPr>
            <w:r>
              <w:rPr>
                <w:sz w:val="18"/>
              </w:rPr>
              <w:t xml:space="preserve">Risk management at Portuguese sites </w:t>
            </w:r>
            <w:r>
              <w:rPr>
                <w:sz w:val="18"/>
                <w:vertAlign w:val="subscript"/>
              </w:rPr>
              <w:t>[77]</w:t>
            </w:r>
          </w:p>
        </w:tc>
        <w:tc>
          <w:tcPr>
            <w:tcW w:type="dxa" w:w="1728"/>
          </w:tcPr>
          <w:p>
            <w:pPr>
              <w:spacing w:line="240" w:lineRule="auto"/>
            </w:pPr>
            <w:r>
              <w:rPr>
                <w:sz w:val="18"/>
              </w:rPr>
              <w:t>19.6% of sites with a site-level risk tool, most of them willing to use one built for their needs</w:t>
            </w:r>
          </w:p>
        </w:tc>
        <w:tc>
          <w:tcPr>
            <w:tcW w:type="dxa" w:w="1728"/>
          </w:tcPr>
          <w:p>
            <w:pPr>
              <w:spacing w:line="240" w:lineRule="auto"/>
            </w:pPr>
            <w:r>
              <w:rPr>
                <w:sz w:val="18"/>
              </w:rPr>
              <w:t>Descriptive survey</w:t>
            </w:r>
          </w:p>
        </w:tc>
        <w:tc>
          <w:tcPr>
            <w:tcW w:type="dxa" w:w="1728"/>
          </w:tcPr>
          <w:p>
            <w:pPr>
              <w:spacing w:line="240" w:lineRule="auto"/>
            </w:pPr>
            <w:r>
              <w:rPr>
                <w:sz w:val="18"/>
              </w:rPr>
              <w:t>The closest measurement of Gap 2</w:t>
            </w:r>
          </w:p>
        </w:tc>
      </w:tr>
      <w:tr>
        <w:tc>
          <w:tcPr>
            <w:tcW w:type="dxa" w:w="1728"/>
            <w:vMerge/>
          </w:tcPr>
          <w:p>
            <w:pPr>
              <w:spacing w:line="240" w:lineRule="auto"/>
            </w:pPr>
          </w:p>
        </w:tc>
        <w:tc>
          <w:tcPr>
            <w:tcW w:type="dxa" w:w="1728"/>
          </w:tcPr>
          <w:p>
            <w:pPr>
              <w:spacing w:line="240" w:lineRule="auto"/>
            </w:pPr>
            <w:r>
              <w:rPr>
                <w:sz w:val="18"/>
              </w:rPr>
              <w:t xml:space="preserve">Quality management perception in investigator-initiated trials </w:t>
            </w:r>
            <w:r>
              <w:rPr>
                <w:sz w:val="18"/>
                <w:vertAlign w:val="subscript"/>
              </w:rPr>
              <w:t>[88]</w:t>
            </w:r>
          </w:p>
        </w:tc>
        <w:tc>
          <w:tcPr>
            <w:tcW w:type="dxa" w:w="1728"/>
          </w:tcPr>
          <w:p>
            <w:pPr>
              <w:spacing w:line="240" w:lineRule="auto"/>
            </w:pPr>
            <w:r>
              <w:rPr>
                <w:sz w:val="18"/>
              </w:rPr>
              <w:t>Better performance in higher-level hospitals, with room for improvement at all levels</w:t>
            </w:r>
          </w:p>
        </w:tc>
        <w:tc>
          <w:tcPr>
            <w:tcW w:type="dxa" w:w="1728"/>
          </w:tcPr>
          <w:p>
            <w:pPr>
              <w:spacing w:line="240" w:lineRule="auto"/>
            </w:pPr>
            <w:r>
              <w:rPr>
                <w:sz w:val="18"/>
              </w:rPr>
              <w:t>Descriptive survey</w:t>
            </w:r>
          </w:p>
        </w:tc>
        <w:tc>
          <w:tcPr>
            <w:tcW w:type="dxa" w:w="1728"/>
          </w:tcPr>
          <w:p>
            <w:pPr>
              <w:spacing w:line="240" w:lineRule="auto"/>
            </w:pPr>
            <w:r>
              <w:rPr>
                <w:sz w:val="18"/>
              </w:rPr>
              <w:t>Organizational category does not establish capacity</w:t>
            </w:r>
          </w:p>
        </w:tc>
      </w:tr>
      <w:tr>
        <w:tc>
          <w:tcPr>
            <w:tcW w:type="dxa" w:w="1728"/>
            <w:vMerge/>
          </w:tcPr>
          <w:p>
            <w:pPr>
              <w:spacing w:line="240" w:lineRule="auto"/>
            </w:pPr>
          </w:p>
        </w:tc>
        <w:tc>
          <w:tcPr>
            <w:tcW w:type="dxa" w:w="1728"/>
          </w:tcPr>
          <w:p>
            <w:pPr>
              <w:spacing w:line="240" w:lineRule="auto"/>
            </w:pPr>
            <w:r>
              <w:rPr>
                <w:sz w:val="18"/>
              </w:rPr>
              <w:t xml:space="preserve">Risk-based monitoring in implantable cardiac device trials </w:t>
            </w:r>
            <w:r>
              <w:rPr>
                <w:sz w:val="18"/>
                <w:vertAlign w:val="subscript"/>
              </w:rPr>
              <w:t>[48]</w:t>
            </w:r>
          </w:p>
        </w:tc>
        <w:tc>
          <w:tcPr>
            <w:tcW w:type="dxa" w:w="1728"/>
          </w:tcPr>
          <w:p>
            <w:pPr>
              <w:spacing w:line="240" w:lineRule="auto"/>
            </w:pPr>
            <w:r>
              <w:rPr>
                <w:sz w:val="18"/>
              </w:rPr>
              <w:t>A sponsor ranked 133 sites by risk, and the worst-performing groups improved within one year</w:t>
            </w:r>
          </w:p>
        </w:tc>
        <w:tc>
          <w:tcPr>
            <w:tcW w:type="dxa" w:w="1728"/>
          </w:tcPr>
          <w:p>
            <w:pPr>
              <w:spacing w:line="240" w:lineRule="auto"/>
            </w:pPr>
            <w:r>
              <w:rPr>
                <w:sz w:val="18"/>
              </w:rPr>
              <w:t>Sponsor, during conduct</w:t>
            </w:r>
          </w:p>
        </w:tc>
        <w:tc>
          <w:tcPr>
            <w:tcW w:type="dxa" w:w="1728"/>
          </w:tcPr>
          <w:p>
            <w:pPr>
              <w:spacing w:line="240" w:lineRule="auto"/>
            </w:pPr>
            <w:r>
              <w:rPr>
                <w:sz w:val="18"/>
              </w:rPr>
              <w:t>A device precedent whose three main risk factors match three of our indicators</w:t>
            </w:r>
          </w:p>
        </w:tc>
      </w:tr>
    </w:tbl>
    <w:p/>
    <w:p>
      <w:pPr>
        <w:ind w:firstLine="720"/>
        <w:jc w:val="both"/>
      </w:pPr>
      <w:r>
        <w:t>Two attributes separate these works more clearly than their subject, namely the party that holds the instrument and the moment at which it acts. Sponsor infrastructure is held by the sponsor and acts from outside the site for the whole trial, while surgical quality assurance belongs to the trial team and acts mostly before the first case. Performance and readiness measures are applied to the site by another party, or by the site to its whole research program once a year, and the empirical studies hold no instrument at all. Among the works we found, almost none is held by the site and used during the conduct of one investigation. The CTAIM and the ISO 9001 experience come closest, although both act on the research program as a whole, on an annual or certification cycle.</w:t>
      </w:r>
    </w:p>
    <w:p>
      <w:pPr>
        <w:ind w:firstLine="720"/>
        <w:jc w:val="both"/>
      </w:pPr>
      <w:r>
        <w:t>Each body of work has a unit of analysis that leaves this position outside its scope. The sponsor literature takes the trial as its unit, and surgical quality assurance takes the intervention, with the operator assessed at entry. The performance literature looks at the site, but as a supplier of data to another party. The conduct of one investigation by one site is the unit of none of these literatures, so none of them had a reason to build an instrument for it, and the framework of this thesis takes that conduct as its unit.</w:t>
      </w:r>
    </w:p>
    <w:p>
      <w:pPr>
        <w:ind w:firstLine="720"/>
        <w:jc w:val="both"/>
      </w:pPr>
      <w:r>
        <w:t xml:space="preserve">Research on medicinal product trials has produced site-level measures and signals for an intervention that barely depends on an operator, since a compound with a defined dose is given in the same way by anyone. Surgical methodology has studied operator learning in detail, and the IDEAL recommendations already proposed statistical process control to follow learning curves </w:t>
      </w:r>
      <w:r>
        <w:rPr>
          <w:vertAlign w:val="subscript"/>
        </w:rPr>
        <w:t>[18]</w:t>
      </w:r>
      <w:r>
        <w:t>. In that literature, however, learning curves serve the evaluation of an innovation and belong to researchers, so the method never reached the site as a quality control. The SLCT brings this concern to the site and replaces formal process control with a structured clinical review, because a single site rarely has enough cases to set control limits.</w:t>
      </w:r>
    </w:p>
    <w:p>
      <w:pPr>
        <w:ind w:firstLine="720"/>
        <w:jc w:val="both"/>
      </w:pPr>
      <w:r>
        <w:t xml:space="preserve">In the RBQM adoption survey of 119 companies, identification of CtQ factors was among the least used of 32 practices, although the companies most advanced in RBQM had used nearly all components in at least one trial </w:t>
      </w:r>
      <w:r>
        <w:rPr>
          <w:vertAlign w:val="subscript"/>
        </w:rPr>
        <w:t>[13]</w:t>
      </w:r>
      <w:r>
        <w:t>. The SRR starts from the protocol and from the sponsor's information on critical factors and risks. Where the sponsor never formalized that information, the site has to work out the factors from the CIP alone. The weakest step of risk-based quality management may therefore lie upstream of the site, and in those investigations the site register becomes the first place where anyone applies CtQ reasoning to local processes.</w:t>
      </w:r>
    </w:p>
    <w:p>
      <w:pPr>
        <w:ind w:firstLine="720"/>
        <w:jc w:val="both"/>
      </w:pPr>
      <w:r>
        <w:t xml:space="preserve">The Clinical Trial Site Performance Measure was developed in six academic hospitals from a systematic review and expert consultation, followed by a statistical reduction of 126 candidate indicators to 18 </w:t>
      </w:r>
      <w:r>
        <w:rPr>
          <w:vertAlign w:val="subscript"/>
        </w:rPr>
        <w:t>[41]</w:t>
      </w:r>
      <w:r>
        <w:t>. Although the two sets were built independently, its four domains match four of our six indicators. Enrollment quality and follow-up compliance fall under retention and consent, critical data completeness under data completeness and timeliness, safety reporting timeliness under adverse event reporting, and the deviation rate under protocol compliance. This agreement gives modest support to the domain analysis of Chapter 3. For a site, two differences between the sets matter more. The validated measure has a consent indicator, while our framework covers consent through the eligibility record, so a site whose register rates consent as a high risk should add a measure for it. The validated measure was also designed to identify underperforming sites through a short form of four items, which makes it a tool for comparing sites. Our indicators tell one site that one of its processes has started to drift, and they make no comparison between sites or between surgeons. Of the two sets, the validated one has the stronger evidence behind it.</w:t>
      </w:r>
    </w:p>
    <w:p>
      <w:pPr>
        <w:ind w:firstLine="720"/>
        <w:jc w:val="both"/>
      </w:pPr>
      <w:r>
        <w:t xml:space="preserve">In an analysis of 1,111 sites flagged by statistical monitoring, data quality improved at 83% after a follow-up investigation, against 56% in two historical studies without that monitoring </w:t>
      </w:r>
      <w:r>
        <w:rPr>
          <w:vertAlign w:val="subscript"/>
        </w:rPr>
        <w:t>[44]</w:t>
      </w:r>
      <w:r>
        <w:t xml:space="preserve">. The improvement came after a signal reached the site and the site responded to it, and the framework places the origin of that signal inside the site, earlier in the conduct. Because the comparison was historical, the figure supports the claim that sites respond to signals more than any estimate of how much quality improves. Diani and colleagues reported a similar pattern for implantable cardiac devices </w:t>
      </w:r>
      <w:r>
        <w:rPr>
          <w:vertAlign w:val="subscript"/>
        </w:rPr>
        <w:t>[48]</w:t>
      </w:r>
      <w:r>
        <w:t>. After a sponsor ranked 133 sites by risk, the worst-performing groups improved within one year in follow-up compliance and in the availability of critical data, and their protocol noncompliance fell as well. Three of our indicators read these processes, which suggests that action at the site can move them. In that study, however, the sponsor ran the approach and ranked the sites, and cardiac rhythm devices depend far less on operator technique than shoulder arthroplasty.</w:t>
      </w:r>
    </w:p>
    <w:p>
      <w:pPr>
        <w:ind w:firstLine="720"/>
        <w:jc w:val="both"/>
      </w:pPr>
      <w:r>
        <w:t xml:space="preserve">Sites that have a quality system today obtained it either by certifying a generic system or through institutional infrastructure. In the Italian trial centers that considered ISO 9001 certification, organizational workload and insufficient training were the main barriers </w:t>
      </w:r>
      <w:r>
        <w:rPr>
          <w:vertAlign w:val="subscript"/>
        </w:rPr>
        <w:t>[31]</w:t>
      </w:r>
      <w:r>
        <w:t xml:space="preserve">. Academic institutions take the second route, with a research management system linked to the hospital's records </w:t>
      </w:r>
      <w:r>
        <w:rPr>
          <w:vertAlign w:val="subscript"/>
        </w:rPr>
        <w:t>[89]</w:t>
      </w:r>
      <w:r>
        <w:t xml:space="preserve"> or a clinical trial unit whose senior staff rank quality management among its most essential services </w:t>
      </w:r>
      <w:r>
        <w:rPr>
          <w:vertAlign w:val="subscript"/>
        </w:rPr>
        <w:t>[90]</w:t>
      </w:r>
      <w:r>
        <w:t>. A nonhospital organization has the resources for neither route, and neither brings the CtQ content of a device investigation. In an academic hospital the trial unit supplies part of the quality function, whereas in a nonhospital organization the instruments have to supply it, and for this reason the framework sets its minimum level there.</w:t>
      </w:r>
    </w:p>
    <w:p>
      <w:pPr>
        <w:ind w:firstLine="720"/>
        <w:jc w:val="both"/>
      </w:pPr>
      <w:r>
        <w:t xml:space="preserve">In surgical oncology, 86 of 97 non-randomized studies of quality improvement reported a positive effect, against 2 of 12 randomized trials, and most of the included studies compared results before and after an intervention without a control group </w:t>
      </w:r>
      <w:r>
        <w:rPr>
          <w:vertAlign w:val="subscript"/>
        </w:rPr>
        <w:t>[40]</w:t>
      </w:r>
      <w:r>
        <w:t>. A site that adopts the framework and compares its own results before and after adoption is very likely to see an improvement, and such a result would say little about the framework. Its evaluation needs a concurrent comparison, which Section 5.6.3 describes.</w:t>
      </w:r>
    </w:p>
    <w:p>
      <w:pPr>
        <w:pStyle w:val="Heading2"/>
      </w:pPr>
      <w:r>
        <w:t>5.3 Putting the framework to work</w:t>
      </w:r>
    </w:p>
    <w:p>
      <w:pPr>
        <w:ind w:firstLine="720"/>
        <w:jc w:val="both"/>
      </w:pPr>
      <w:r>
        <w:t>A site starts the instruments in an order set by the lifecycle and by the dependencies between them, which differs from the order by pillar that Chapter 4 used to describe them. The route below assumes the full set of instruments and notes where the minimum level differs.</w:t>
      </w:r>
    </w:p>
    <w:p>
      <w:pPr>
        <w:pStyle w:val="Heading3"/>
      </w:pPr>
      <w:r>
        <w:t>5.3.1 A route through the lifecycle</w:t>
      </w:r>
    </w:p>
    <w:p>
      <w:pPr>
        <w:ind w:firstLine="720"/>
        <w:jc w:val="both"/>
      </w:pPr>
      <w:r>
        <w:t>1. During feasibility the site decides whether it can take the investigation. It reads the CIP together with whatever the sponsor provides on critical factors and risks, and checks each CtQ domain against its own capacity. The check covers whether radiology can produce the required views within each window and whether the surgeons have experience with comparable procedures. It also covers follow-up, which needs a coordinator for several years. The organizational category of the site gives a first estimate of its implementation level, which the site then checks against its actual staff and services. A device or technique that is new to the surgeons will lead the risk register to add the learning curve log. When the investigation requires controls beyond what the site can run, the site asks the sponsor for support, such as proctoring, or declines. Its answer informs the sponsor's judgment of the site under Clause 6.8 of ISO 14155:2026, and the decision is recorded in the MRL at the academic level and in the POT at the other levels.</w:t>
      </w:r>
    </w:p>
    <w:p>
      <w:pPr>
        <w:ind w:firstLine="720"/>
        <w:jc w:val="both"/>
      </w:pPr>
      <w:r>
        <w:t>2. Start-up opens with the RACI, since no task can be assigned until each of the six functions has a holder and a backup, with a limit of authority for each. When the PI also operates in the investigation, the site names at this point the person who will decide on the PI's own authorization.</w:t>
      </w:r>
    </w:p>
    <w:p>
      <w:pPr>
        <w:ind w:firstLine="720"/>
        <w:jc w:val="both"/>
      </w:pPr>
      <w:r>
        <w:t>3. The site then prepares and releases people in a fixed order. It sets the training each role requires, through the DTRM or the sponsor's requirements, and records each person's release in the TRE once that training is complete. Each surgeon then receives a credentialing decision in the SCR, which takes the release on device training as one of its inputs and places the surgeon in one of the four categories. Only after this do the delegation grades of the CCDM, or the limits recorded in the RACI at the lower levels, become active, so nobody is delegated a task before being released for it.</w:t>
      </w:r>
    </w:p>
    <w:p>
      <w:pPr>
        <w:ind w:firstLine="720"/>
        <w:jc w:val="both"/>
      </w:pPr>
      <w:r>
        <w:t>4. The SRR opens before the first participant. For each CtQ domain the site identifies the factors that its own conduct can affect and links each local risk to the factor it threatens, with a rating and a named owner. Each entry also records its control and the trigger for reassessment. In a shoulder investigation the first entries usually concern implant identifiers that may not be captured in the operating room and intraoperative changes documented too late, followed by imaging positions that are hard to reproduce and visit windows spread over a long follow-up. Because the register decides which optional instruments the site adds to its minimum set, the implementation level is confirmed only after this step.</w:t>
      </w:r>
    </w:p>
    <w:p>
      <w:pPr>
        <w:pStyle w:val="Heading1"/>
      </w:pPr>
      <w:r>
        <w:t>5. Every rule is fixed before any data exist. The site defines the basis of comparison of the learning curve log, with its complexity levels and expected operative durations, and the support a surgeon receives early on. It sets the thresholds of the complication review and the rule and control values of each indicator, and it writes the scope of internal verification by choosing among the ten checks and setting their frequency and sample, together with the reviewer. The source of each critical datum is mapped at the same time, including whether the ICDL serves as the source for the intraoperative data the CIP requires. Finally, the site sets the dates of the oversight meetings, with a review of safety cases at least once a month. Each rule carries a date, and a later change applies only to future periods.</w:t>
      </w:r>
    </w:p>
    <w:p>
      <w:pPr>
        <w:ind w:firstLine="720"/>
        <w:jc w:val="both"/>
      </w:pPr>
      <w:r>
        <w:t>6. At the review that closes start-up, the PI confirms that these steps are complete and records the implementation level, together with the instruments added because of risk. By this point fifteen of the twenty-four instruments have acted, although no participant data exist yet.</w:t>
      </w:r>
    </w:p>
    <w:p>
      <w:pPr>
        <w:ind w:firstLine="720"/>
        <w:jc w:val="both"/>
      </w:pPr>
      <w:r>
        <w:t>7. Participant records are kept as the data arise. Each person considered enters the screening log, and each eligibility decision is documented in the PSEAR before enrollment, with a second review where a criterion depends on imaging. Image sets enter the IQL at acquisition. In the operating room the ICDL is completed during the procedure, and the learning curve log takes its case entry from it. From the operating room onward, any event opens a case in the SART and an entry in the SCML, and each follow-up visit is documented in the PFVR. Only these five records have to be completed at the clinical moment, and every other instrument reads them.</w:t>
      </w:r>
    </w:p>
    <w:p>
      <w:pPr>
        <w:ind w:firstLine="720"/>
        <w:jc w:val="both"/>
      </w:pPr>
      <w:r>
        <w:t>8. Internal verification runs its first review after the first inclusions, earlier than its routine schedule, and the learning curve review follows each surgeon's first cases, while the safety review takes place within the first month. Problems of a new workflow are then found while few participants have been exposed to them.</w:t>
      </w:r>
    </w:p>
    <w:p>
      <w:pPr>
        <w:ind w:firstLine="720"/>
        <w:jc w:val="both"/>
      </w:pPr>
      <w:r>
        <w:t>9. An event that meets an escalation trigger in the CCDM goes to the PI without waiting for the meeting, and the POT records the PI's decision.</w:t>
      </w:r>
    </w:p>
    <w:p>
      <w:pPr>
        <w:ind w:firstLine="720"/>
        <w:jc w:val="both"/>
      </w:pPr>
      <w:r>
        <w:t>10. At close-out the site reconciles device accountability and safety cases, and it checks the screening log against the eligibility records before a final internal review. Each corrective action closes with an effectiveness review or with a documented limitation. The PIDLR records the lessons and the standing procedures are revised, after which the instruments that outlive the investigation pass to the next one.</w:t>
      </w:r>
    </w:p>
    <w:p>
      <w:pPr>
        <w:pStyle w:val="Heading3"/>
      </w:pPr>
      <w:r>
        <w:t>5.3.2 The monthly cycle</w:t>
      </w:r>
    </w:p>
    <w:p>
      <w:pPr>
        <w:ind w:firstLine="720"/>
        <w:jc w:val="both"/>
      </w:pPr>
      <w:r>
        <w:t>The oversight meeting connects the instruments, and its agenda starts with safety. Open cases in the SART are reviewed first, and the CSST counts events by category and component, and by surgeon, against the number of procedures. A signal tied to a surgeon goes to the learning curve review and a signal pointing to the device goes to the sponsor through the deficiency route, while patterns in a local process enter the risk register or corrective action. The surgeons are reviewed next, through the learning curve log and the consistency indicator, because operative time can only be read once the meeting knows which cases had complications. This review may confirm stable execution or lead to closer observation and retraining, and in some cases to proctoring. A restriction returns to the SCR and passes to the delegation records, where the ICDL checks it at the surgeon's next case. The indicators are then read against the rules fixed before enrollment, followed by the findings of internal verification, and the risk register closes the agenda with the new risks and the triggers met during the session. The PI records each decision in the POT. Corrective action opens when a first response has failed and closes when the indicator that prompted it returns under control.</w:t>
      </w:r>
    </w:p>
    <w:p>
      <w:pPr>
        <w:ind w:firstLine="720"/>
        <w:jc w:val="both"/>
      </w:pPr>
      <w:r>
        <w:t>The minimum level omits the SLCT and, with it, the instruments that review complication signals and indicators, so the meeting itself does their work. It reads the substitutions recorded in the ICDL and reviews the SART cases together, and it checks follow-up through the FUCR. The minimum level therefore depends on this recurring meeting more than on any single instrument. When meetings are missed, the synthesis that the higher levels spread across several instruments disappears, and no record shows that it is missing.</w:t>
      </w:r>
    </w:p>
    <w:p>
      <w:pPr>
        <w:pStyle w:val="Heading3"/>
      </w:pPr>
      <w:r>
        <w:t>5.3.3 Where implementation is likely to fail</w:t>
      </w:r>
    </w:p>
    <w:p>
      <w:pPr>
        <w:ind w:firstLine="720"/>
        <w:jc w:val="both"/>
      </w:pPr>
      <w:r>
        <w:t>A site can operate every instrument and still lose its function in at least six ways, and the design already guards against most of them (Table 5.2).</w:t>
      </w:r>
    </w:p>
    <w:p>
      <w:pPr>
        <w:spacing w:before="120" w:after="80"/>
      </w:pPr>
      <w:r>
        <w:rPr>
          <w:i/>
          <w:sz w:val="20"/>
        </w:rPr>
        <w:t>Table 5.2. Ways in which a site can operate the instruments and still lose their function, with what is lost and the guard in the design.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pPr>
              <w:spacing w:line="240" w:lineRule="auto"/>
            </w:pPr>
            <w:r>
              <w:rPr>
                <w:b/>
                <w:sz w:val="18"/>
              </w:rPr>
              <w:t>Failure</w:t>
            </w:r>
          </w:p>
        </w:tc>
        <w:tc>
          <w:tcPr>
            <w:tcW w:type="dxa" w:w="2880"/>
            <w:shd w:val="clear" w:color="auto" w:fill="D9D9D9"/>
          </w:tcPr>
          <w:p>
            <w:pPr>
              <w:spacing w:line="240" w:lineRule="auto"/>
            </w:pPr>
            <w:r>
              <w:rPr>
                <w:b/>
                <w:sz w:val="18"/>
              </w:rPr>
              <w:t>What is lost</w:t>
            </w:r>
          </w:p>
        </w:tc>
        <w:tc>
          <w:tcPr>
            <w:tcW w:type="dxa" w:w="2880"/>
            <w:shd w:val="clear" w:color="auto" w:fill="D9D9D9"/>
          </w:tcPr>
          <w:p>
            <w:pPr>
              <w:spacing w:line="240" w:lineRule="auto"/>
            </w:pPr>
            <w:r>
              <w:rPr>
                <w:b/>
                <w:sz w:val="18"/>
              </w:rPr>
              <w:t>Guard in the design</w:t>
            </w:r>
          </w:p>
        </w:tc>
      </w:tr>
      <w:tr>
        <w:tc>
          <w:tcPr>
            <w:tcW w:type="dxa" w:w="2880"/>
          </w:tcPr>
          <w:p>
            <w:pPr>
              <w:spacing w:line="240" w:lineRule="auto"/>
            </w:pPr>
            <w:r>
              <w:rPr>
                <w:sz w:val="18"/>
              </w:rPr>
              <w:t>Risk register copied from the sponsor's risk list</w:t>
            </w:r>
          </w:p>
        </w:tc>
        <w:tc>
          <w:tcPr>
            <w:tcW w:type="dxa" w:w="2880"/>
          </w:tcPr>
          <w:p>
            <w:pPr>
              <w:spacing w:line="240" w:lineRule="auto"/>
            </w:pPr>
            <w:r>
              <w:rPr>
                <w:sz w:val="18"/>
              </w:rPr>
              <w:t>The local risks, since the register fills with trial risks the site cannot control</w:t>
            </w:r>
          </w:p>
        </w:tc>
        <w:tc>
          <w:tcPr>
            <w:tcW w:type="dxa" w:w="2880"/>
          </w:tcPr>
          <w:p>
            <w:pPr>
              <w:spacing w:line="240" w:lineRule="auto"/>
            </w:pPr>
            <w:r>
              <w:rPr>
                <w:sz w:val="18"/>
              </w:rPr>
              <w:t>Each entry names a local cause and an owner from the RACI</w:t>
            </w:r>
          </w:p>
        </w:tc>
      </w:tr>
      <w:tr>
        <w:tc>
          <w:tcPr>
            <w:tcW w:type="dxa" w:w="2880"/>
          </w:tcPr>
          <w:p>
            <w:pPr>
              <w:spacing w:line="240" w:lineRule="auto"/>
            </w:pPr>
            <w:r>
              <w:rPr>
                <w:sz w:val="18"/>
              </w:rPr>
              <w:t>Rule changed after the data are known</w:t>
            </w:r>
          </w:p>
        </w:tc>
        <w:tc>
          <w:tcPr>
            <w:tcW w:type="dxa" w:w="2880"/>
          </w:tcPr>
          <w:p>
            <w:pPr>
              <w:spacing w:line="240" w:lineRule="auto"/>
            </w:pPr>
            <w:r>
              <w:rPr>
                <w:sz w:val="18"/>
              </w:rPr>
              <w:t>The purpose of the indicator, since a threshold moved to avoid action no longer signals anything</w:t>
            </w:r>
          </w:p>
        </w:tc>
        <w:tc>
          <w:tcPr>
            <w:tcW w:type="dxa" w:w="2880"/>
          </w:tcPr>
          <w:p>
            <w:pPr>
              <w:spacing w:line="240" w:lineRule="auto"/>
            </w:pPr>
            <w:r>
              <w:rPr>
                <w:sz w:val="18"/>
              </w:rPr>
              <w:t>Rules are dated at start-up, and a later change applies only to future periods</w:t>
            </w:r>
          </w:p>
        </w:tc>
      </w:tr>
      <w:tr>
        <w:tc>
          <w:tcPr>
            <w:tcW w:type="dxa" w:w="2880"/>
          </w:tcPr>
          <w:p>
            <w:pPr>
              <w:spacing w:line="240" w:lineRule="auto"/>
            </w:pPr>
            <w:r>
              <w:rPr>
                <w:sz w:val="18"/>
              </w:rPr>
              <w:t>ICDL completed after surgery from the operative note</w:t>
            </w:r>
          </w:p>
        </w:tc>
        <w:tc>
          <w:tcPr>
            <w:tcW w:type="dxa" w:w="2880"/>
          </w:tcPr>
          <w:p>
            <w:pPr>
              <w:spacing w:line="240" w:lineRule="auto"/>
            </w:pPr>
            <w:r>
              <w:rPr>
                <w:sz w:val="18"/>
              </w:rPr>
              <w:t>Capture at the moment the data arise</w:t>
            </w:r>
          </w:p>
        </w:tc>
        <w:tc>
          <w:tcPr>
            <w:tcW w:type="dxa" w:w="2880"/>
          </w:tcPr>
          <w:p>
            <w:pPr>
              <w:spacing w:line="240" w:lineRule="auto"/>
            </w:pPr>
            <w:r>
              <w:rPr>
                <w:sz w:val="18"/>
              </w:rPr>
              <w:t>Internal verification checks the timeliness of operative records</w:t>
            </w:r>
          </w:p>
        </w:tc>
      </w:tr>
      <w:tr>
        <w:tc>
          <w:tcPr>
            <w:tcW w:type="dxa" w:w="2880"/>
          </w:tcPr>
          <w:p>
            <w:pPr>
              <w:spacing w:line="240" w:lineRule="auto"/>
            </w:pPr>
            <w:r>
              <w:rPr>
                <w:sz w:val="18"/>
              </w:rPr>
              <w:t>Oversight meeting reduced to a formality</w:t>
            </w:r>
          </w:p>
        </w:tc>
        <w:tc>
          <w:tcPr>
            <w:tcW w:type="dxa" w:w="2880"/>
          </w:tcPr>
          <w:p>
            <w:pPr>
              <w:spacing w:line="240" w:lineRule="auto"/>
            </w:pPr>
            <w:r>
              <w:rPr>
                <w:sz w:val="18"/>
              </w:rPr>
              <w:t>Decisions that change anything</w:t>
            </w:r>
          </w:p>
        </w:tc>
        <w:tc>
          <w:tcPr>
            <w:tcW w:type="dxa" w:w="2880"/>
          </w:tcPr>
          <w:p>
            <w:pPr>
              <w:spacing w:line="240" w:lineRule="auto"/>
            </w:pPr>
            <w:r>
              <w:rPr>
                <w:sz w:val="18"/>
              </w:rPr>
              <w:t>A corrective action closes only after its effect has been reviewed</w:t>
            </w:r>
          </w:p>
        </w:tc>
      </w:tr>
      <w:tr>
        <w:tc>
          <w:tcPr>
            <w:tcW w:type="dxa" w:w="2880"/>
          </w:tcPr>
          <w:p>
            <w:pPr>
              <w:spacing w:line="240" w:lineRule="auto"/>
            </w:pPr>
            <w:r>
              <w:rPr>
                <w:sz w:val="18"/>
              </w:rPr>
              <w:t>Review by someone who depends on the person reviewed</w:t>
            </w:r>
          </w:p>
        </w:tc>
        <w:tc>
          <w:tcPr>
            <w:tcW w:type="dxa" w:w="2880"/>
          </w:tcPr>
          <w:p>
            <w:pPr>
              <w:spacing w:line="240" w:lineRule="auto"/>
            </w:pPr>
            <w:r>
              <w:rPr>
                <w:sz w:val="18"/>
              </w:rPr>
              <w:t>The independence of review</w:t>
            </w:r>
          </w:p>
        </w:tc>
        <w:tc>
          <w:tcPr>
            <w:tcW w:type="dxa" w:w="2880"/>
          </w:tcPr>
          <w:p>
            <w:pPr>
              <w:spacing w:line="240" w:lineRule="auto"/>
            </w:pPr>
            <w:r>
              <w:rPr>
                <w:sz w:val="18"/>
              </w:rPr>
              <w:t>Only the rule that nobody reviews their own work</w:t>
            </w:r>
          </w:p>
        </w:tc>
      </w:tr>
      <w:tr>
        <w:tc>
          <w:tcPr>
            <w:tcW w:type="dxa" w:w="2880"/>
          </w:tcPr>
          <w:p>
            <w:pPr>
              <w:spacing w:line="240" w:lineRule="auto"/>
            </w:pPr>
            <w:r>
              <w:rPr>
                <w:sz w:val="18"/>
              </w:rPr>
              <w:t>Instruments run as parallel records</w:t>
            </w:r>
          </w:p>
        </w:tc>
        <w:tc>
          <w:tcPr>
            <w:tcW w:type="dxa" w:w="2880"/>
          </w:tcPr>
          <w:p>
            <w:pPr>
              <w:spacing w:line="240" w:lineRule="auto"/>
            </w:pPr>
            <w:r>
              <w:rPr>
                <w:sz w:val="18"/>
              </w:rPr>
              <w:t>A single authoritative value for each datum</w:t>
            </w:r>
          </w:p>
        </w:tc>
        <w:tc>
          <w:tcPr>
            <w:tcW w:type="dxa" w:w="2880"/>
          </w:tcPr>
          <w:p>
            <w:pPr>
              <w:spacing w:line="240" w:lineRule="auto"/>
            </w:pPr>
            <w:r>
              <w:rPr>
                <w:sz w:val="18"/>
              </w:rPr>
              <w:t>The source rule and the source map made before enrollment</w:t>
            </w:r>
          </w:p>
        </w:tc>
      </w:tr>
    </w:tbl>
    <w:p/>
    <w:p>
      <w:pPr>
        <w:ind w:firstLine="720"/>
        <w:jc w:val="both"/>
      </w:pPr>
      <w:r>
        <w:t>The weakest guard concerns the independence of review in a team of two. The framework only requires that the reviewer is not the person who did the work, and in a surgeon-owned practice the coordinator who reviews the surgeon's operative documentation may be the surgeon's employee. A peer from another site would give that review some distance, as would an arrangement in which two small sites review each other's records, and a sponsor's monitor could examine the internal reviews at each visit. None of these options is part of the current design.</w:t>
      </w:r>
    </w:p>
    <w:p>
      <w:pPr>
        <w:pStyle w:val="Heading3"/>
      </w:pPr>
      <w:r>
        <w:t>5.3.4 What the framework is expected to change</w:t>
      </w:r>
    </w:p>
    <w:p>
      <w:pPr>
        <w:ind w:firstLine="720"/>
        <w:jc w:val="both"/>
      </w:pPr>
      <w:r>
        <w:t>Each instrument takes part in a chain that starts with a record made at the clinical moment and read together with other records. The synthesis supports a decision, which then becomes the condition against which the next record is checked. The value of the framework depends on that chain closing in time, which depends on the people who run it as much as on the design. Its expected effects are therefore propositions, and Table 5.3 gives for each one the observation that would refute it, together with its mechanism and a measure.</w:t>
      </w:r>
    </w:p>
    <w:p>
      <w:pPr>
        <w:spacing w:before="120" w:after="80"/>
      </w:pPr>
      <w:r>
        <w:rPr>
          <w:i/>
          <w:sz w:val="20"/>
        </w:rPr>
        <w:t>Table 5.3. The propositions on the effects of the framework, each with its mechanism, the observation that would refute it, and the measure that would test it.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pPr>
              <w:spacing w:line="240" w:lineRule="auto"/>
            </w:pPr>
            <w:r>
              <w:rPr>
                <w:b/>
                <w:sz w:val="18"/>
              </w:rPr>
              <w:t>Proposition</w:t>
            </w:r>
          </w:p>
        </w:tc>
        <w:tc>
          <w:tcPr>
            <w:tcW w:type="dxa" w:w="2160"/>
            <w:shd w:val="clear" w:color="auto" w:fill="D9D9D9"/>
          </w:tcPr>
          <w:p>
            <w:pPr>
              <w:spacing w:line="240" w:lineRule="auto"/>
            </w:pPr>
            <w:r>
              <w:rPr>
                <w:b/>
                <w:sz w:val="18"/>
              </w:rPr>
              <w:t>Mechanism</w:t>
            </w:r>
          </w:p>
        </w:tc>
        <w:tc>
          <w:tcPr>
            <w:tcW w:type="dxa" w:w="2160"/>
            <w:shd w:val="clear" w:color="auto" w:fill="D9D9D9"/>
          </w:tcPr>
          <w:p>
            <w:pPr>
              <w:spacing w:line="240" w:lineRule="auto"/>
            </w:pPr>
            <w:r>
              <w:rPr>
                <w:b/>
                <w:sz w:val="18"/>
              </w:rPr>
              <w:t>Refuted if</w:t>
            </w:r>
          </w:p>
        </w:tc>
        <w:tc>
          <w:tcPr>
            <w:tcW w:type="dxa" w:w="2160"/>
            <w:shd w:val="clear" w:color="auto" w:fill="D9D9D9"/>
          </w:tcPr>
          <w:p>
            <w:pPr>
              <w:spacing w:line="240" w:lineRule="auto"/>
            </w:pPr>
            <w:r>
              <w:rPr>
                <w:b/>
                <w:sz w:val="18"/>
              </w:rPr>
              <w:t>Measure</w:t>
            </w:r>
          </w:p>
        </w:tc>
      </w:tr>
      <w:tr>
        <w:tc>
          <w:tcPr>
            <w:tcW w:type="dxa" w:w="2160"/>
          </w:tcPr>
          <w:p>
            <w:pPr>
              <w:spacing w:line="240" w:lineRule="auto"/>
            </w:pPr>
            <w:r>
              <w:rPr>
                <w:sz w:val="18"/>
              </w:rPr>
              <w:t>P1. The learning curve log and the consistency indicator detect procedural drift before it appears as a complication or a protocol deviation</w:t>
            </w:r>
          </w:p>
        </w:tc>
        <w:tc>
          <w:tcPr>
            <w:tcW w:type="dxa" w:w="2160"/>
          </w:tcPr>
          <w:p>
            <w:pPr>
              <w:spacing w:line="240" w:lineRule="auto"/>
            </w:pPr>
            <w:r>
              <w:rPr>
                <w:sz w:val="18"/>
              </w:rPr>
              <w:t>Each case is compared with the same surgeon's earlier cases of the same complexity</w:t>
            </w:r>
          </w:p>
        </w:tc>
        <w:tc>
          <w:tcPr>
            <w:tcW w:type="dxa" w:w="2160"/>
          </w:tcPr>
          <w:p>
            <w:pPr>
              <w:spacing w:line="240" w:lineRule="auto"/>
            </w:pPr>
            <w:r>
              <w:rPr>
                <w:sz w:val="18"/>
              </w:rPr>
              <w:t>The first signal in the log does not precede the first related event in the safety or deviation records</w:t>
            </w:r>
          </w:p>
        </w:tc>
        <w:tc>
          <w:tcPr>
            <w:tcW w:type="dxa" w:w="2160"/>
          </w:tcPr>
          <w:p>
            <w:pPr>
              <w:spacing w:line="240" w:lineRule="auto"/>
            </w:pPr>
            <w:r>
              <w:rPr>
                <w:sz w:val="18"/>
              </w:rPr>
              <w:t>Time from first signal to first related event</w:t>
            </w:r>
          </w:p>
        </w:tc>
      </w:tr>
      <w:tr>
        <w:tc>
          <w:tcPr>
            <w:tcW w:type="dxa" w:w="2160"/>
          </w:tcPr>
          <w:p>
            <w:pPr>
              <w:spacing w:line="240" w:lineRule="auto"/>
            </w:pPr>
            <w:r>
              <w:rPr>
                <w:sz w:val="18"/>
              </w:rPr>
              <w:t>P2. A site that runs internal verification and corrective action during conduct reaches close-out with fewer unresolved items</w:t>
            </w:r>
          </w:p>
        </w:tc>
        <w:tc>
          <w:tcPr>
            <w:tcW w:type="dxa" w:w="2160"/>
          </w:tcPr>
          <w:p>
            <w:pPr>
              <w:spacing w:line="240" w:lineRule="auto"/>
            </w:pPr>
            <w:r>
              <w:rPr>
                <w:sz w:val="18"/>
              </w:rPr>
              <w:t>Problems are corrected in the phase where they arise</w:t>
            </w:r>
          </w:p>
        </w:tc>
        <w:tc>
          <w:tcPr>
            <w:tcW w:type="dxa" w:w="2160"/>
          </w:tcPr>
          <w:p>
            <w:pPr>
              <w:spacing w:line="240" w:lineRule="auto"/>
            </w:pPr>
            <w:r>
              <w:rPr>
                <w:sz w:val="18"/>
              </w:rPr>
              <w:t>Close-out workload does not differ from that of comparable sites</w:t>
            </w:r>
          </w:p>
        </w:tc>
        <w:tc>
          <w:tcPr>
            <w:tcW w:type="dxa" w:w="2160"/>
          </w:tcPr>
          <w:p>
            <w:pPr>
              <w:spacing w:line="240" w:lineRule="auto"/>
            </w:pPr>
            <w:r>
              <w:rPr>
                <w:sz w:val="18"/>
              </w:rPr>
              <w:t>Open queries at database lock; staff hours spent on close-out</w:t>
            </w:r>
          </w:p>
        </w:tc>
      </w:tr>
      <w:tr>
        <w:tc>
          <w:tcPr>
            <w:tcW w:type="dxa" w:w="2160"/>
          </w:tcPr>
          <w:p>
            <w:pPr>
              <w:spacing w:line="240" w:lineRule="auto"/>
            </w:pPr>
            <w:r>
              <w:rPr>
                <w:sz w:val="18"/>
              </w:rPr>
              <w:t>P3. A site detects its own deviations before the monitor does</w:t>
            </w:r>
          </w:p>
        </w:tc>
        <w:tc>
          <w:tcPr>
            <w:tcW w:type="dxa" w:w="2160"/>
          </w:tcPr>
          <w:p>
            <w:pPr>
              <w:spacing w:line="240" w:lineRule="auto"/>
            </w:pPr>
            <w:r>
              <w:rPr>
                <w:sz w:val="18"/>
              </w:rPr>
              <w:t>Internal verification runs between sponsor visits</w:t>
            </w:r>
          </w:p>
        </w:tc>
        <w:tc>
          <w:tcPr>
            <w:tcW w:type="dxa" w:w="2160"/>
          </w:tcPr>
          <w:p>
            <w:pPr>
              <w:spacing w:line="240" w:lineRule="auto"/>
            </w:pPr>
            <w:r>
              <w:rPr>
                <w:sz w:val="18"/>
              </w:rPr>
              <w:t>Monitors find most deviations first</w:t>
            </w:r>
          </w:p>
        </w:tc>
        <w:tc>
          <w:tcPr>
            <w:tcW w:type="dxa" w:w="2160"/>
          </w:tcPr>
          <w:p>
            <w:pPr>
              <w:spacing w:line="240" w:lineRule="auto"/>
            </w:pPr>
            <w:r>
              <w:rPr>
                <w:sz w:val="18"/>
              </w:rPr>
              <w:t>Share of deviations first recorded by the site</w:t>
            </w:r>
          </w:p>
        </w:tc>
      </w:tr>
      <w:tr>
        <w:tc>
          <w:tcPr>
            <w:tcW w:type="dxa" w:w="2160"/>
          </w:tcPr>
          <w:p>
            <w:pPr>
              <w:spacing w:line="240" w:lineRule="auto"/>
            </w:pPr>
            <w:r>
              <w:rPr>
                <w:sz w:val="18"/>
              </w:rPr>
              <w:t>P4. Monitors spend less time reconstructing site conduct</w:t>
            </w:r>
          </w:p>
        </w:tc>
        <w:tc>
          <w:tcPr>
            <w:tcW w:type="dxa" w:w="2160"/>
          </w:tcPr>
          <w:p>
            <w:pPr>
              <w:spacing w:line="240" w:lineRule="auto"/>
            </w:pPr>
            <w:r>
              <w:rPr>
                <w:sz w:val="18"/>
              </w:rPr>
              <w:t>The site hands over its own records of risk, delegation, and correction</w:t>
            </w:r>
          </w:p>
        </w:tc>
        <w:tc>
          <w:tcPr>
            <w:tcW w:type="dxa" w:w="2160"/>
          </w:tcPr>
          <w:p>
            <w:pPr>
              <w:spacing w:line="240" w:lineRule="auto"/>
            </w:pPr>
            <w:r>
              <w:rPr>
                <w:sz w:val="18"/>
              </w:rPr>
              <w:t>Monitoring time does not change</w:t>
            </w:r>
          </w:p>
        </w:tc>
        <w:tc>
          <w:tcPr>
            <w:tcW w:type="dxa" w:w="2160"/>
          </w:tcPr>
          <w:p>
            <w:pPr>
              <w:spacing w:line="240" w:lineRule="auto"/>
            </w:pPr>
            <w:r>
              <w:rPr>
                <w:sz w:val="18"/>
              </w:rPr>
              <w:t>Monitoring time per visit with and without the site records</w:t>
            </w:r>
          </w:p>
        </w:tc>
      </w:tr>
      <w:tr>
        <w:tc>
          <w:tcPr>
            <w:tcW w:type="dxa" w:w="2160"/>
          </w:tcPr>
          <w:p>
            <w:pPr>
              <w:spacing w:line="240" w:lineRule="auto"/>
            </w:pPr>
            <w:r>
              <w:rPr>
                <w:sz w:val="18"/>
              </w:rPr>
              <w:t>P5. Safety cases reach the sponsor within the CIP interval more often</w:t>
            </w:r>
          </w:p>
        </w:tc>
        <w:tc>
          <w:tcPr>
            <w:tcW w:type="dxa" w:w="2160"/>
          </w:tcPr>
          <w:p>
            <w:pPr>
              <w:spacing w:line="240" w:lineRule="auto"/>
            </w:pPr>
            <w:r>
              <w:rPr>
                <w:sz w:val="18"/>
              </w:rPr>
              <w:t>The monthly review on the site's own schedule finds the stage where delays arise</w:t>
            </w:r>
          </w:p>
        </w:tc>
        <w:tc>
          <w:tcPr>
            <w:tcW w:type="dxa" w:w="2160"/>
          </w:tcPr>
          <w:p>
            <w:pPr>
              <w:spacing w:line="240" w:lineRule="auto"/>
            </w:pPr>
            <w:r>
              <w:rPr>
                <w:sz w:val="18"/>
              </w:rPr>
              <w:t>Timeliness does not improve after the first reviews</w:t>
            </w:r>
          </w:p>
        </w:tc>
        <w:tc>
          <w:tcPr>
            <w:tcW w:type="dxa" w:w="2160"/>
          </w:tcPr>
          <w:p>
            <w:pPr>
              <w:spacing w:line="240" w:lineRule="auto"/>
            </w:pPr>
            <w:r>
              <w:rPr>
                <w:sz w:val="18"/>
              </w:rPr>
              <w:t>Share of timely initial notifications</w:t>
            </w:r>
          </w:p>
        </w:tc>
      </w:tr>
      <w:tr>
        <w:tc>
          <w:tcPr>
            <w:tcW w:type="dxa" w:w="2160"/>
          </w:tcPr>
          <w:p>
            <w:pPr>
              <w:spacing w:line="240" w:lineRule="auto"/>
            </w:pPr>
            <w:r>
              <w:rPr>
                <w:sz w:val="18"/>
              </w:rPr>
              <w:t>P6. The site keeps its history through changes of staff or monitor</w:t>
            </w:r>
          </w:p>
        </w:tc>
        <w:tc>
          <w:tcPr>
            <w:tcW w:type="dxa" w:w="2160"/>
          </w:tcPr>
          <w:p>
            <w:pPr>
              <w:spacing w:line="240" w:lineRule="auto"/>
            </w:pPr>
            <w:r>
              <w:rPr>
                <w:sz w:val="18"/>
              </w:rPr>
              <w:t>Decisions and deviations are dated and held at the site with their reasons</w:t>
            </w:r>
          </w:p>
        </w:tc>
        <w:tc>
          <w:tcPr>
            <w:tcW w:type="dxa" w:w="2160"/>
          </w:tcPr>
          <w:p>
            <w:pPr>
              <w:spacing w:line="240" w:lineRule="auto"/>
            </w:pPr>
            <w:r>
              <w:rPr>
                <w:sz w:val="18"/>
              </w:rPr>
              <w:t>Questions already settled are reopened after a handover</w:t>
            </w:r>
          </w:p>
        </w:tc>
        <w:tc>
          <w:tcPr>
            <w:tcW w:type="dxa" w:w="2160"/>
          </w:tcPr>
          <w:p>
            <w:pPr>
              <w:spacing w:line="240" w:lineRule="auto"/>
            </w:pPr>
            <w:r>
              <w:rPr>
                <w:sz w:val="18"/>
              </w:rPr>
              <w:t>Items reopened after a change of coordinator or monitor</w:t>
            </w:r>
          </w:p>
        </w:tc>
      </w:tr>
    </w:tbl>
    <w:p/>
    <w:p>
      <w:pPr>
        <w:ind w:firstLine="720"/>
        <w:jc w:val="both"/>
      </w:pPr>
      <w:r>
        <w:t>Documentation can be complete while conduct is poor, and nothing in this thesis shows that recording a practice improves it. The claim we can defend is narrower, namely that controls written for a specific activity leave fewer failures unnoticed, so the framework acts on the probability that a failure goes undetected. Failures come from lapses and from competing demands on the same person, as well as from systems that do not fit the work or requirements that are unclear, and the framework reaches those that nobody noticed in time, whatever their origin. Deliberate misconduct is outside its reach, since a person who intends to misrepresent conduct can misrepresent the record as well. With no change in conduct at all, the site would still hold a complete and traceable record of what it did, which helps to reconstruct a case years later and supports the manufacturer's post-market obligations. That record protects a participant only when someone reviews it and acts in time.</w:t>
      </w:r>
    </w:p>
    <w:p>
      <w:pPr>
        <w:ind w:firstLine="720"/>
        <w:jc w:val="both"/>
      </w:pPr>
      <w:r>
        <w:t>Staff who know that their work is reviewed may attend to it more closely, and the review also teaches them which elements matter. The same pressure can improve the record while the conduct stays as it was. The design limits that risk, since its instruments record decisions and identifiers with their dates and classifications, so a device identifier is simply captured or missing, and most records are read by someone other than the person who wrote them.</w:t>
      </w:r>
    </w:p>
    <w:p>
      <w:pPr>
        <w:ind w:firstLine="720"/>
        <w:jc w:val="both"/>
      </w:pPr>
      <w:r>
        <w:t>The indicators of enrollment quality and critical data completeness read a process while it runs, and so does surgeon procedural consistency. The other three indicators count events that have already happened, although each can still signal a deterioration before it reaches a participant or an endpoint. A single site adds a further limit, because with few cases in each review period one event is often enough to move an indicator from control to closer review or action. In the target center the indicators work mainly as a scheduled review of events against rules fixed in advance, and their value comes from that schedule and those rules more than from any statistical property. At this scale the set meets DR8 as a warning system whose predictive value is still unknown.</w:t>
      </w:r>
    </w:p>
    <w:p>
      <w:pPr>
        <w:pStyle w:val="Heading2"/>
      </w:pPr>
      <w:r>
        <w:t>5.4 Scaling and transfer</w:t>
      </w:r>
    </w:p>
    <w:p>
      <w:pPr>
        <w:pStyle w:val="Heading3"/>
      </w:pPr>
      <w:r>
        <w:t>5.4.1 What the minimum level gives up</w:t>
      </w:r>
    </w:p>
    <w:p>
      <w:pPr>
        <w:ind w:firstLine="720"/>
        <w:jc w:val="both"/>
      </w:pPr>
      <w:r>
        <w:t>We could not find a source for the premise on which scaling rests. The framework scales by the number of instruments in use while each instrument keeps its form, on the reasoning that inspection assesses compliance through the completeness and consistency of the records and that every level keeps the records ISO 14155:2026 and the MDR require. On that reasoning a site at the minimum level carries no additional regulatory exposure. No study we found compares inspection outcomes across quality systems of different scope, and a reader who rejects the premise should also reject the scalability argument.</w:t>
      </w:r>
    </w:p>
    <w:p>
      <w:pPr>
        <w:ind w:firstLine="720"/>
        <w:jc w:val="both"/>
      </w:pPr>
      <w:r>
        <w:t>Chapter 4 already accepts that the meeting at the minimum level reviews less often than dedicated instruments would, so a signal may be noticed later. It also accepts that one person may hold several functions, which weakens the separation between execution and oversight required by DR10, and that independence of review comes down to the rule that nobody reviews their own work.</w:t>
      </w:r>
    </w:p>
    <w:p>
      <w:pPr>
        <w:ind w:firstLine="720"/>
        <w:jc w:val="both"/>
      </w:pPr>
      <w:r>
        <w:t>Other costs are less visible, and the first of them concerns the proxies. At the minimum level the CRF serves as the visit record and the sponsor's log replaces the site's screening log, while imaging readiness follows the sponsor's charter. These records sit in systems the sponsor controls, and the site's access to the electronic data capture system may end after close-out. Part of the site's history then lies in records it will not keep, so the memory that DR10 asks for is weakest at the level where staff turnover does most harm. At close-out, a site working at the minimum level should keep a copy of these proxy records under its own control, or use the PFVR from the start when follow-up lasts several years.</w:t>
      </w:r>
    </w:p>
    <w:p>
      <w:pPr>
        <w:ind w:firstLine="720"/>
        <w:jc w:val="both"/>
      </w:pPr>
      <w:r>
        <w:t>In practice the minimum also depends on the stage of the investigation. The risk register adds the learning curve log for a new implant design or technique, and in a premarket investigation the device is new to every surgeon, so the rule will almost always apply and the effective minimum for a nonhospital organization becomes thirteen instruments. The minimum of twelve applies mainly to investigations of devices already in the surgeon's use, such as post-market clinical follow-up. The SLCT answers the only gap without a counterpart obligation and is formally optional in the setting the framework was designed for, but the risk register brings it back in the investigations where a learning curve exists.</w:t>
      </w:r>
    </w:p>
    <w:p>
      <w:pPr>
        <w:ind w:firstLine="720"/>
        <w:jc w:val="both"/>
      </w:pPr>
      <w:r>
        <w:t>Because the PI records the implementation level at the end of start-up and is also among those who carry the work that each level adds, a site has a reason to choose the lowest level its category allows. The rule that a site able to use more instruments should do so has no external check, apart from the sponsor's chance to see the recorded level at qualification and ask for the reasoning behind it.</w:t>
      </w:r>
    </w:p>
    <w:p>
      <w:pPr>
        <w:ind w:firstLine="720"/>
        <w:jc w:val="both"/>
      </w:pPr>
      <w:r>
        <w:t>Fifteen of the twenty-four instruments act during start-up, which is when sponsors measure how quickly a site is activated, so the framework places most of its work where the pressure to start is greatest. Part of that work is done once and carried to later investigations, and as a result the first investigation pays most of the cost of setting up.</w:t>
      </w:r>
    </w:p>
    <w:p>
      <w:pPr>
        <w:pStyle w:val="Heading3"/>
      </w:pPr>
      <w:r>
        <w:t>5.4.2 Instruments that outlive the investigation</w:t>
      </w:r>
    </w:p>
    <w:p>
      <w:pPr>
        <w:ind w:firstLine="720"/>
        <w:jc w:val="both"/>
      </w:pPr>
      <w:r>
        <w:t>Chapter 4 describes the framework for a single investigation, while many sites conduct several, either at once or one after another. Some instruments belong to the site and are kept across investigations, and some keep a site structure that each investigation fills with its own content. The rest are opened again for every investigation (Table 5.4).</w:t>
      </w:r>
    </w:p>
    <w:p>
      <w:pPr>
        <w:spacing w:before="120" w:after="80"/>
      </w:pPr>
      <w:r>
        <w:rPr>
          <w:i/>
          <w:sz w:val="20"/>
        </w:rPr>
        <w:t>Table 5.4. The twenty-four instruments classified by whether the site keeps them across investigations, keeps their structure with content specific to each investigation, or opens them again for each investigation.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pPr>
              <w:spacing w:line="240" w:lineRule="auto"/>
            </w:pPr>
            <w:r>
              <w:rPr>
                <w:b/>
                <w:sz w:val="18"/>
              </w:rPr>
              <w:t>Kept by the site across investigations</w:t>
            </w:r>
          </w:p>
        </w:tc>
        <w:tc>
          <w:tcPr>
            <w:tcW w:type="dxa" w:w="2880"/>
            <w:shd w:val="clear" w:color="auto" w:fill="D9D9D9"/>
          </w:tcPr>
          <w:p>
            <w:pPr>
              <w:spacing w:line="240" w:lineRule="auto"/>
            </w:pPr>
            <w:r>
              <w:rPr>
                <w:b/>
                <w:sz w:val="18"/>
              </w:rPr>
              <w:t>Site structure with content from each investigation</w:t>
            </w:r>
          </w:p>
        </w:tc>
        <w:tc>
          <w:tcPr>
            <w:tcW w:type="dxa" w:w="2880"/>
            <w:shd w:val="clear" w:color="auto" w:fill="D9D9D9"/>
          </w:tcPr>
          <w:p>
            <w:pPr>
              <w:spacing w:line="240" w:lineRule="auto"/>
            </w:pPr>
            <w:r>
              <w:rPr>
                <w:b/>
                <w:sz w:val="18"/>
              </w:rPr>
              <w:t>Opened for each investigation</w:t>
            </w:r>
          </w:p>
        </w:tc>
      </w:tr>
      <w:tr>
        <w:tc>
          <w:tcPr>
            <w:tcW w:type="dxa" w:w="2880"/>
          </w:tcPr>
          <w:p>
            <w:pPr>
              <w:spacing w:line="240" w:lineRule="auto"/>
            </w:pPr>
            <w:r>
              <w:rPr>
                <w:sz w:val="18"/>
              </w:rPr>
              <w:t>RACI, TRE, CAPA, PIDLR</w:t>
            </w:r>
          </w:p>
        </w:tc>
        <w:tc>
          <w:tcPr>
            <w:tcW w:type="dxa" w:w="2880"/>
          </w:tcPr>
          <w:p>
            <w:pPr>
              <w:spacing w:line="240" w:lineRule="auto"/>
            </w:pPr>
            <w:r>
              <w:rPr>
                <w:sz w:val="18"/>
              </w:rPr>
              <w:t>SRR, SCR, SIRR, POT, IMP, IMC, PIR, SLCT</w:t>
            </w:r>
          </w:p>
        </w:tc>
        <w:tc>
          <w:tcPr>
            <w:tcW w:type="dxa" w:w="2880"/>
          </w:tcPr>
          <w:p>
            <w:pPr>
              <w:spacing w:line="240" w:lineRule="auto"/>
            </w:pPr>
            <w:r>
              <w:rPr>
                <w:sz w:val="18"/>
              </w:rPr>
              <w:t>CCDM, DTRM, MRL, SCML, CSST, SART, PSEAR, SIFSL, ICDL, IQL, PFVR, FUCR</w:t>
            </w:r>
          </w:p>
        </w:tc>
      </w:tr>
    </w:tbl>
    <w:p/>
    <w:p>
      <w:pPr>
        <w:ind w:firstLine="720"/>
        <w:jc w:val="both"/>
      </w:pPr>
      <w:r>
        <w:t>The instruments opened for each investigation are mostly records of participants and procedures, or of visits, so their effort grows with the number of cases. Site compensation is also calculated per procedure and per participant, which means that the work growing with cases is the work the site is paid for. What has no budget line is setting up the structure, and that work sits mainly in the instruments the site keeps or reuses. The cost the framework adds is therefore concentrated in the first investigation and falls in later ones. A site with a steady portfolio spreads it, whereas a site that takes one investigation every few years carries most of it each time.</w:t>
      </w:r>
    </w:p>
    <w:p>
      <w:pPr>
        <w:jc w:val="both"/>
      </w:pPr>
      <w:r>
        <w:rPr>
          <w:highlight w:val="yellow"/>
        </w:rPr>
        <w:t>[Number to compute from the final registry dataset: organizations in the sample with more than one investigation, overall and among nonhospital organizations.]</w:t>
      </w:r>
    </w:p>
    <w:p>
      <w:pPr>
        <w:ind w:firstLine="720"/>
        <w:jc w:val="both"/>
      </w:pPr>
      <w:r>
        <w:t>A site running investigations at the same time needs one role structure and one training history, and also one corrective action log and one oversight meeting for all of them, while the participant records remain separate for each investigation. A site that reads the framework as one set per investigation duplicates these records and overstates the effort it requires. Safety reporting timeliness and critical data completeness measure site processes shared by all of its investigations, as does the deviation rate by area, so the site can pool their counts to enlarge the small denominators of a single investigation. Surgeon consistency and complication patterns depend on the device and cannot be pooled across different devices. Because the data of each sponsor's investigation are confidential to that sponsor, pooled counts serve only the site's internal review.</w:t>
      </w:r>
    </w:p>
    <w:p>
      <w:pPr>
        <w:ind w:firstLine="720"/>
        <w:jc w:val="both"/>
      </w:pPr>
      <w:r>
        <w:t>A surgeon's learning with a device also continues from one investigation to the next. When a second investigation uses a device the surgeon already knows, its case sequence starts after the learning period, and the basis of comparison fixed before the first case should include the earlier cases where the site holds them.</w:t>
      </w:r>
    </w:p>
    <w:p>
      <w:pPr>
        <w:pStyle w:val="Heading3"/>
      </w:pPr>
      <w:r>
        <w:t>5.4.3 Transfer to other specialties</w:t>
      </w:r>
    </w:p>
    <w:p>
      <w:pPr>
        <w:ind w:firstLine="720"/>
        <w:jc w:val="both"/>
      </w:pPr>
      <w:r>
        <w:t>Neither the MDR nor ISO 14155:2026 distinguishes a shoulder device from a knee or hip device, so the obligations behind the instruments apply across implant surgery and make transfer plausible, although they do not show it. Within the instruments, anatomical content sits in the complication categories and the imaging requirements, together with the complexity levels of the learning curve log. The structure of the instruments, from their fields to their escalation rules, carries none.</w:t>
      </w:r>
    </w:p>
    <w:p>
      <w:pPr>
        <w:ind w:firstLine="720"/>
        <w:jc w:val="both"/>
      </w:pPr>
      <w:r>
        <w:t>Spine surgery shows that specialties also differ in more than content, since one procedure may implant several components, which multiplies the traceability work and the ICDL entries per case. In robot-assisted or navigated arthroplasty part of the execution moves from the surgeon to a system, so the learning curve becomes that of a surgeon working with a system, and the basis of comparison of the SLCT has to separate experience with the procedure from experience with the system. The higher volumes of hip and knee arthroplasty give the indicators larger denominators than the shoulder allows. The claim stops at surgical investigations without an implant, where unit traceability does not arise, and at device investigations without surgery, where operator dependence takes another form.</w:t>
      </w:r>
    </w:p>
    <w:p>
      <w:pPr>
        <w:ind w:firstLine="720"/>
        <w:jc w:val="both"/>
      </w:pPr>
      <w:r>
        <w:t>Applying the instrument set to the documentation of a completed hip or knee device investigation, and recording which fields had to change, is a direct and inexpensive test of this claim. If only classification lists change, the claim holds, whereas a need to rebuild review triggers or escalation rules shows a shoulder framework described too broadly.</w:t>
      </w:r>
    </w:p>
    <w:p>
      <w:pPr>
        <w:pStyle w:val="Heading3"/>
      </w:pPr>
      <w:r>
        <w:t>5.4.4 Transfer to other jurisdictions and editions</w:t>
      </w:r>
    </w:p>
    <w:p>
      <w:pPr>
        <w:ind w:firstLine="720"/>
        <w:jc w:val="both"/>
      </w:pPr>
      <w:r>
        <w:t>The registry places 155 of the 238 organizations in the United States, including 63 of the 68 nonhospital organizations, while the framework was designed under the MDR and ISO 14155:2026. Most of the nonhospital organizations in the sample therefore operate under another regime. The derivation is unaffected, because the regulatory analysis does not depend on the registry, but the question of how far the framework serves these organizations remains open.</w:t>
      </w:r>
    </w:p>
    <w:p>
      <w:pPr>
        <w:ind w:firstLine="720"/>
        <w:jc w:val="both"/>
      </w:pPr>
      <w:r>
        <w:t xml:space="preserve">Under 21 CFR Part 812, the investigator reports an unanticipated adverse device effect to the sponsor and to the institutional review board within ten working days of first learning of it </w:t>
      </w:r>
      <w:r>
        <w:rPr>
          <w:vertAlign w:val="subscript"/>
        </w:rPr>
        <w:t>[12]</w:t>
      </w:r>
      <w:r>
        <w:t>. A site in the United States therefore has a regulatory interval for the safety reporting indicator, where a European site takes the interval from the CIP. Since the SART already takes its interval from the CIP, it adapts, and what changes are the terms and the regulatory anchors of each instrument. Neither regime prescribes how a site organizes itself, so the structure of the framework should transfer once each anchor is mapped to the corresponding provision, a mapping we have not done.</w:t>
      </w:r>
    </w:p>
    <w:p>
      <w:pPr>
        <w:ind w:firstLine="720"/>
        <w:jc w:val="both"/>
      </w:pPr>
      <w:r>
        <w:t xml:space="preserve">Within the European Union, the version of ISO 14155 with a presumption of conformity under the MDR is still EN ISO 14155:2020+A11:2024 </w:t>
      </w:r>
      <w:r>
        <w:rPr>
          <w:vertAlign w:val="subscript"/>
        </w:rPr>
        <w:t>[9]</w:t>
      </w:r>
      <w:r>
        <w:t>, while the 2026 edition represents the current state of the art. Some parts of the framework rest on clauses added in the fourth edition, such as the risk stream for clinical procedures beyond routine practice and the clinical events committee, or calibration as part of the content of the CIP. A site working to the harmonized version can use these parts as state of the art, without the presumption of conformity that the harmonized text carries.</w:t>
      </w:r>
    </w:p>
    <w:p>
      <w:pPr>
        <w:pStyle w:val="Heading2"/>
      </w:pPr>
      <w:r>
        <w:t>5.5 Implications</w:t>
      </w:r>
    </w:p>
    <w:p>
      <w:pPr>
        <w:pStyle w:val="Heading3"/>
      </w:pPr>
      <w:r>
        <w:t>5.5.1 For the investigational site</w:t>
      </w:r>
    </w:p>
    <w:p>
      <w:pPr>
        <w:ind w:firstLine="720"/>
        <w:jc w:val="both"/>
      </w:pPr>
      <w:r>
        <w:t>For the site, the main gain is an account of its own conduct that survives changes of people. When a coordinator leaves or a monitor is replaced, or when a question settled by an earlier monitor comes back, a site with a documented framework still holds the decisions and the reasons behind them.</w:t>
      </w:r>
    </w:p>
    <w:p>
      <w:pPr>
        <w:ind w:firstLine="720"/>
        <w:jc w:val="both"/>
      </w:pPr>
      <w:r>
        <w:t xml:space="preserve">That account costs staff time, and the way sites are paid decides whether anyone covers it. Research compensation in this field is calculated per procedure and per participant who completes the study, and sponsors negotiate it against Fair Market Value schedules </w:t>
      </w:r>
      <w:r>
        <w:rPr>
          <w:highlight w:val="yellow"/>
        </w:rPr>
        <w:t>[ref needed]</w:t>
      </w:r>
      <w:r>
        <w:t xml:space="preserve">. No budget line funds an internal quality system, and in the United States payment above Fair Market Value creates compliance exposure under anti-inducement rules </w:t>
      </w:r>
      <w:r>
        <w:rPr>
          <w:highlight w:val="yellow"/>
        </w:rPr>
        <w:t>[ref needed]</w:t>
      </w:r>
      <w:r>
        <w:t>. We did not examine the equivalent rules in the European Union. An avoidable error, such as a screen failure caused by an incomplete eligibility record or a missed imaging window, therefore becomes a direct loss for the site. Fair Market Value limits the price of a defined service and says nothing about a service that nobody has defined. A sponsor could pay a market rate for setting up the site's quality structure, as it pays for other start-up activities, provided the service is real and documented. Whether contracts in this field accept such a line is a question we could not answer.</w:t>
      </w:r>
    </w:p>
    <w:p>
      <w:pPr>
        <w:ind w:firstLine="720"/>
        <w:jc w:val="both"/>
      </w:pPr>
      <w:r>
        <w:t>The site pays for the framework in staff time, while the benefits also reach other parties. The sponsor gains easier monitoring and more reliable data, and the manufacturer relies on the operating room records for traceability. Participants benefit most directly, since they carry the risks that the records help to control. The site itself loses less to avoidable errors and keeps instruments it can carry to the next investigation, and it may also gain a record that counts in future site selection, although we could not test this. A site deciding where to begin should start with the instruments that protect data that cannot be recovered, meaning the five records made at the clinical moment and the risk register, because the same records protect its revenue.</w:t>
      </w:r>
    </w:p>
    <w:p>
      <w:pPr>
        <w:ind w:firstLine="720"/>
        <w:jc w:val="both"/>
      </w:pPr>
      <w:r>
        <w:t>A site that records a weakness also creates a record that a monitor can read, and a finding the site raised against itself is still a finding. The framework asks the site to accept that exposure, because the alternative leaves the same weakness in place and unrecorded. How monitors treat findings that a site declared itself is not known, and it will decide whether sites are willing to keep these records.</w:t>
      </w:r>
    </w:p>
    <w:p>
      <w:pPr>
        <w:pStyle w:val="Heading3"/>
      </w:pPr>
      <w:r>
        <w:t>5.5.2 For sponsors, contract research organizations, and monitors</w:t>
      </w:r>
    </w:p>
    <w:p>
      <w:pPr>
        <w:ind w:firstLine="720"/>
        <w:jc w:val="both"/>
      </w:pPr>
      <w:r>
        <w:t>At qualification, Clause 6.8 asks the sponsor to judge the qualifications of the PI and the adequacy of the site. A site that arrives with its own risk register and oversight records gives documentary evidence on both, where otherwise the judgment rests on interviews and on the state of the files.</w:t>
      </w:r>
    </w:p>
    <w:p>
      <w:pPr>
        <w:ind w:firstLine="720"/>
        <w:jc w:val="both"/>
      </w:pPr>
      <w:r>
        <w:t>Of all the points where the two systems meet, the exchange of critical factors has received the least attention. The site register starts from the CIP and from whatever the sponsor discloses about critical factors and risks. ICH E6(R3) includes the communication of quality management activities in the sponsor's cycle, and yet the adoption survey suggests that many sponsors never formalize their critical factors. If the sponsor gave each site, at initiation, a summary of the critical factors and main risks it identified, the site's register and the sponsor's monitoring would address the same targets.</w:t>
      </w:r>
    </w:p>
    <w:p>
      <w:pPr>
        <w:ind w:firstLine="720"/>
        <w:jc w:val="both"/>
      </w:pPr>
      <w:r>
        <w:t>Where the CIP allows it, the site can name the ICDL as the source of implant identifiers and intraoperative events. Source data verification of those fields would then compare the CRF with a structured record made during the procedure, which is a firmer reference than an operative note written for clinical purposes.</w:t>
      </w:r>
    </w:p>
    <w:p>
      <w:pPr>
        <w:ind w:firstLine="720"/>
        <w:jc w:val="both"/>
      </w:pPr>
      <w:r>
        <w:t xml:space="preserve">At a monitoring visit, a site that hands over its risk register and delegation records, with its corrective action log and indicator results, lets the monitor review a site that has already described its own risks. Risk-based monitoring is adequate only when certain prerequisites at the site are met </w:t>
      </w:r>
      <w:r>
        <w:rPr>
          <w:vertAlign w:val="subscript"/>
        </w:rPr>
        <w:t>[43]</w:t>
      </w:r>
      <w:r>
        <w:t>, and the framework builds some of them. A site with a working corrective action process can also answer a monitoring finding by showing that it removed the cause as well as the instance. We found no study measuring how much monitoring time this saves.</w:t>
      </w:r>
    </w:p>
    <w:p>
      <w:pPr>
        <w:ind w:firstLine="720"/>
        <w:jc w:val="both"/>
      </w:pPr>
      <w:r>
        <w:t>Central monitoring uses key risk indicators and quality tolerance limits at trial level, and the site's indicators read the same processes at one center. A sponsor could receive the site's indicator results as an input to central monitoring, provided that each datum keeps the source assigned to it in Section 4.4.4. The clinical events committee that ISO 14155:2026 allows the sponsor to establish addresses the same events as the site's complication review, at a different level. We found no evidence that either level detects a signal first, and a local action already taken is information the committee can use.</w:t>
      </w:r>
    </w:p>
    <w:p>
      <w:pPr>
        <w:ind w:firstLine="720"/>
        <w:jc w:val="both"/>
      </w:pPr>
      <w:r>
        <w:t xml:space="preserve">Only one of 247 randomized surgical trials analyzed learning effects </w:t>
      </w:r>
      <w:r>
        <w:rPr>
          <w:vertAlign w:val="subscript"/>
        </w:rPr>
        <w:t>[72]</w:t>
      </w:r>
      <w:r>
        <w:t>, in part because the case sequence of each surgeon is rarely collected. The SLCT holds that sequence with complexity and duration, and if the CIP planned for it and the surgeon's data were protected, the sponsor could use the log to examine learning in its main analysis. A quality instrument of the site would then add to the evidence the investigation produces.</w:t>
      </w:r>
    </w:p>
    <w:p>
      <w:pPr>
        <w:ind w:firstLine="720"/>
        <w:jc w:val="both"/>
      </w:pPr>
      <w:r>
        <w:t>Contract research organizations, to which sponsors often delegate operational conduct, bring systems and timelines designed to work across many sites. These systems govern the data that reach the case report form, but they cannot establish whether an image was acquired as the charter required or whether the identifier on the record matches the implanted unit. Nor can they show that an intraoperative change was documented in time to be reconstructed. Monitors also change, and each new monitor arrives without the history of earlier decisions. The framework governs the production of data at their origin, before they enter systems the site does not control, and it keeps the site's own history across these changes.</w:t>
      </w:r>
    </w:p>
    <w:p>
      <w:pPr>
        <w:ind w:firstLine="720"/>
        <w:jc w:val="both"/>
      </w:pPr>
      <w:r>
        <w:t>Beyond receiving these records, a sponsor could supply templates and help set up the framework across its sites, as it already supplies the protocol and the Investigator's Brochure, together with training, within the clinical quality management system it runs under Clause 9.1. This would move part of the cost of construction to the sponsor, but it carries a risk visible only from the site. A site working with three sponsors would receive three frameworks, each shaped by a different sponsor, and would run three quality systems at once. The more stable division keeps a structure owned by the site, as Chapter 4 describes, into which each investigation brings its content and, where the sponsor wishes, its templates. Operation of the framework and ownership of its records stay with the party present when the data are generated.</w:t>
      </w:r>
    </w:p>
    <w:p>
      <w:pPr>
        <w:pStyle w:val="Heading3"/>
      </w:pPr>
      <w:r>
        <w:t>5.5.3 For standards and regulators</w:t>
      </w:r>
    </w:p>
    <w:p>
      <w:pPr>
        <w:ind w:firstLine="720"/>
        <w:jc w:val="both"/>
      </w:pPr>
      <w:r>
        <w:t>Reading ISO 14155:2026 from the position of the site reveals points that a future revision could consider. Clause 6.2 requires the sponsor to manage risk in three streams: the use of the device, the clinical procedures required by the CIP beyond routine practice, and the conduct of the investigation. All three belong to the sponsor, and no text describes how a site handles the part of those risks that its own execution creates. Clause 9.2.4.5 p) asks monitors to verify that equipment relevant to assessment is maintained and calibrated, and Annex A.6.4 adds calibration to the content of the CIP, yet no clause describes the record through which the site shows this work. Clause 6.12 introduces the clinical events committee without a local counterpart. These observations come from one position in a standard with a wider purpose, so a revision might reasonably leave them open.</w:t>
      </w:r>
    </w:p>
    <w:p>
      <w:pPr>
        <w:ind w:firstLine="720"/>
        <w:jc w:val="both"/>
      </w:pPr>
      <w:r>
        <w:t>A clause asking a site to keep a risk register would ask for one document and one review cycle, while a requirement for a site-level quality system would ask for much more. Annex XV of the MDR governs the conduct of clinical investigations and says nothing about how a site organizes itself to conduct them. The harmonization of the fourth edition would be a natural moment to examine that question.</w:t>
      </w:r>
    </w:p>
    <w:p>
      <w:pPr>
        <w:ind w:firstLine="720"/>
        <w:jc w:val="both"/>
      </w:pPr>
      <w:r>
        <w:t>ISO 15189:2022 gives the medical laboratory a quality system that can be accredited, so its results are trusted by parties who never see the laboratory. A standard of this kind for investigational sites would also solve the problem that sponsor-supplied frameworks create, because a site working for several sponsors would run one structure recognized by all of them. Whether investigational sites should one day be accredited in this way is beyond what this thesis can answer, and we raise it as a question for the field.</w:t>
      </w:r>
    </w:p>
    <w:p>
      <w:pPr>
        <w:ind w:firstLine="720"/>
        <w:jc w:val="both"/>
      </w:pPr>
      <w:r>
        <w:t>No clause in the present texts requires a site to keep the records this framework produces, so a competent authority that inspects a site under the MDR would not treat their absence as a non-compliance. A site that operates the framework and a site that operates nothing therefore present the same regulatory surface and differ only in what they can show. A site with the framework can show how it controlled its conduct, which is what a governance-oriented inspection looks for, while a site without it can only reconstruct that control from primary documents.</w:t>
      </w:r>
    </w:p>
    <w:p>
      <w:pPr>
        <w:pStyle w:val="Heading3"/>
      </w:pPr>
      <w:r>
        <w:t>5.5.4 Ethical implications</w:t>
      </w:r>
    </w:p>
    <w:p>
      <w:pPr>
        <w:ind w:firstLine="720"/>
        <w:jc w:val="both"/>
      </w:pPr>
      <w:r>
        <w:t>Participants in a device investigation accept risk in the service of knowledge, and the quality of conduct at the site decides how well that acceptance is honored. A delayed safety report postpones the identification of a device-related signal at every center, including centers the reporting site never saw. An incomplete traceability record can prevent a complication from being linked to the lot that produced it, and an eligibility error can expose a participant to a procedure that cannot be undone. The participant carries these risks and sees none of the quality system. The sponsor judges the site at qualification and the ethics committee at approval, and the framework supports the judgment that the site itself makes in every case.</w:t>
      </w:r>
    </w:p>
    <w:p>
      <w:pPr>
        <w:ind w:firstLine="720"/>
        <w:jc w:val="both"/>
      </w:pPr>
      <w:r>
        <w:t xml:space="preserve">The SLCT and the consistency indicator hold performance by surgeon and can lead to a restriction of the cases a surgeon takes, so in substance they assess professional performance and have to be governed as such. The design codes the surgeon and keeps the key with the PI. It also fixes, before the first case, the outcomes that a review can reach, and it requires the reasoning behind any restriction to be documented. The indicator does not rank surgeons, since a fair comparison would need an adjustment for case mix and for clustering </w:t>
      </w:r>
      <w:r>
        <w:rPr>
          <w:vertAlign w:val="subscript"/>
        </w:rPr>
        <w:t>[67, 68]</w:t>
      </w:r>
      <w:r>
        <w:t xml:space="preserve"> that a single site rarely allows. These records are also personal data of the professional, so the site has to define who can access them and for what purpose. We did not analyze in detail the data protection rules that apply.</w:t>
      </w:r>
    </w:p>
    <w:p>
      <w:pPr>
        <w:ind w:firstLine="720"/>
        <w:jc w:val="both"/>
      </w:pPr>
      <w:r>
        <w:t>In a surgeon-owned practice, the site belongs to the surgeon it observes, and the PI who decides on a restriction may be the surgeon under review or a close colleague who shares the commercial consequence. The same structure affects internal verification, where the reviewer may be the employee of the person reviewed. Every function already has a named substitute in the role structure. The framework can therefore require that, when the PI is the surgeon under review, the decision passes to that substitute or to a party outside the site, such as the sponsor's medical monitor or the ethics committee, with this route fixed during start-up, before the first case.</w:t>
      </w:r>
    </w:p>
    <w:p>
      <w:pPr>
        <w:pStyle w:val="Heading2"/>
      </w:pPr>
      <w:r>
        <w:t>5.6 Evaluation, limitations, and further research</w:t>
      </w:r>
    </w:p>
    <w:p>
      <w:pPr>
        <w:pStyle w:val="Heading3"/>
      </w:pPr>
      <w:r>
        <w:t>5.6.1 The evaluation this thesis performed</w:t>
      </w:r>
    </w:p>
    <w:p>
      <w:pPr>
        <w:ind w:firstLine="720"/>
        <w:jc w:val="both"/>
      </w:pPr>
      <w:r>
        <w:t xml:space="preserve">The Design Science Research Methodology has six activities, and this thesis reports the first three, which run from problem identification to design and development, together with the last, communication </w:t>
      </w:r>
      <w:r>
        <w:rPr>
          <w:vertAlign w:val="subscript"/>
        </w:rPr>
        <w:t>[49]</w:t>
      </w:r>
      <w:r>
        <w:t xml:space="preserve">. Demonstration and evaluation are not reported, although the thesis did perform one kind of evaluation. The design-science literature distinguishes evaluation before an artifact is used, which tests design decisions against existing knowledge, from evaluation after its use </w:t>
      </w:r>
      <w:r>
        <w:rPr>
          <w:highlight w:val="yellow"/>
        </w:rPr>
        <w:t>[ref: Sonnenberg and vom Brocke 2012]</w:t>
      </w:r>
      <w:r>
        <w:t xml:space="preserve">, and it classifies evaluations as formative or summative and as artificial or naturalistic </w:t>
      </w:r>
      <w:r>
        <w:rPr>
          <w:highlight w:val="yellow"/>
        </w:rPr>
        <w:t>[ref: Venable et al. 2016]</w:t>
      </w:r>
      <w:r>
        <w:t>. Our traceability from each component to a requirement, and from each requirement back to its origin in Chapter 3, is an evaluation of the first kind, formative and artificial. It shows that the framework is coherent with the knowledge it was built from. Because we derived the requirements and assigned the components ourselves, the mapping is not independent evidence, and it cannot show that the components are necessary or that the set is complete.</w:t>
      </w:r>
    </w:p>
    <w:p>
      <w:pPr>
        <w:pStyle w:val="Heading3"/>
      </w:pPr>
      <w:r>
        <w:t>5.6.2 Limitations</w:t>
      </w:r>
    </w:p>
    <w:p>
      <w:pPr>
        <w:ind w:firstLine="720"/>
        <w:jc w:val="both"/>
      </w:pPr>
      <w:r>
        <w:t>The absence of any implementation weakens every claim about effect in this chapter. The propositions of Table 5.3 remain expectations, as do the economic argument and the estimate of effort, and nobody knows how much time the instruments take in a small team. A feasibility study in one site can reduce this limitation, and the design already limits its consequence by keeping the regulatory analysis and the derivation independent of any expected effect.</w:t>
      </w:r>
    </w:p>
    <w:p>
      <w:pPr>
        <w:ind w:firstLine="720"/>
        <w:jc w:val="both"/>
      </w:pPr>
      <w:r>
        <w:t>Because the literature review was narrative, any statement that a body of work is absent from the field is weak, and Section 5.2 describes only the works we found and read, a position that a systematic search can test. We reduced the risk by searching the bodies of work most likely to contain a site-level framework and by reporting the closest works we found.</w:t>
      </w:r>
    </w:p>
    <w:p>
      <w:pPr>
        <w:ind w:firstLine="720"/>
        <w:jc w:val="both"/>
      </w:pPr>
      <w:r>
        <w:t>Our evidence on the state of site practice comes from published studies and regulatory guidance, with some expert commentary. We had no access to the internal documents of any site, from its procedures to its audit data, which weakens the claim that the failures the framework addresses are the ones that occur most often. Field research in sites of each organizational category can test that claim and calibrate the framework against observed failures.</w:t>
      </w:r>
    </w:p>
    <w:p>
      <w:pPr>
        <w:ind w:firstLine="720"/>
        <w:jc w:val="both"/>
      </w:pPr>
      <w:r>
        <w:t>In the registry analysis, one researcher classified each organization from its public self-description, with a second internal pass and no independent assessor. This weakens the assignment of organizations to environments and the reproducibility of the counts in Table 3.3, which a second coder can test. The registry is also weighted toward the United States, while the framework was designed under the MDR. Since the regulatory analysis does not depend on the registry, the inference that weakens is the one from the organizational profile of the sample to European sites, and a registry analysis based on European data, which Eudamed did not provide, would test it.</w:t>
      </w:r>
    </w:p>
    <w:p>
      <w:pPr>
        <w:ind w:firstLine="720"/>
        <w:jc w:val="both"/>
      </w:pPr>
      <w:r>
        <w:t>The instruments have not been assessed by anyone outside the research team, so the claim that they can be completed as intended rests on the design alone. A content review by experts and a usability test of the templates are the first steps of the sequence described below.</w:t>
      </w:r>
    </w:p>
    <w:p>
      <w:pPr>
        <w:ind w:firstLine="720"/>
        <w:jc w:val="both"/>
      </w:pPr>
      <w:r>
        <w:t>Some choices of this thesis are delimitations, made on purpose: the focus on the shoulder and on the European regulatory framework, and the choice of the nonhospital organization as the design case. They set the scope of the claims, and Section 5.4 discusses how far the claims can travel beyond them.</w:t>
      </w:r>
    </w:p>
    <w:p>
      <w:pPr>
        <w:pStyle w:val="Heading3"/>
      </w:pPr>
      <w:r>
        <w:t>5.6.3 Further research</w:t>
      </w:r>
    </w:p>
    <w:p>
      <w:pPr>
        <w:ind w:firstLine="720"/>
        <w:jc w:val="both"/>
      </w:pPr>
      <w:r>
        <w:t xml:space="preserve">The framework has completed the development phase of a complex intervention, and the phases that follow, from feasibility to implementation, do not have to come in strict order </w:t>
      </w:r>
      <w:r>
        <w:rPr>
          <w:highlight w:val="yellow"/>
        </w:rPr>
        <w:t>[ref: Skivington et al. 2021]</w:t>
      </w:r>
      <w:r>
        <w:t>. The shortest next step is the demonstration activity of the DSRM, which needs no participants. Running the full set through a simulated or retrospective case series, from feasibility to the lessons record, shows whether the instruments connect as the design intends and whether any record lacks a reader.</w:t>
      </w:r>
    </w:p>
    <w:p>
      <w:pPr>
        <w:ind w:firstLine="720"/>
        <w:jc w:val="both"/>
      </w:pPr>
      <w:r>
        <w:t>A content review by sites and monitors, with surgeons included, and a usability test of the templates should come next, because an instrument that nobody can complete correctly cannot be evaluated for anything else. A feasibility study in one nonhospital organization and one hospital can then run the minimum set through a complete investigation. It should measure staff time per instrument, separating the work done once from the work that grows with cases, and compare the completeness of the records with a defined checklist. The share of deviations that the site detected before the monitor did shows most directly whether the framework does what it claims.</w:t>
      </w:r>
    </w:p>
    <w:p>
      <w:pPr>
        <w:ind w:firstLine="720"/>
        <w:jc w:val="both"/>
      </w:pPr>
      <w:r>
        <w:t>Before-and-after comparisons at one site are likely to report an improvement whatever the framework does, so the evaluation of effect needs a concurrent comparison. A sponsor could introduce the framework in its sites in a staggered order within one investigation, letting the sites that have not yet started serve as comparators. Where that is not possible, a site could follow its indicators over a long series before and after adoption, as the IDEAL recommendations propose when randomized designs are not feasible. A sponsor-led design of this kind also tests whether a sponsor can supply templates while the site keeps the operation and ownership of its records, and whether the instruments carry into an electronic system without structural change.</w:t>
      </w:r>
    </w:p>
    <w:p>
      <w:pPr>
        <w:ind w:firstLine="720"/>
        <w:jc w:val="both"/>
      </w:pPr>
      <w:r>
        <w:t>The volume of a single site does not allow the indicators to be validated, because an investigation spread across several centers leaves each center with few cases over several years. Validation can instead draw on existing records, since a retrospective study can pair historical values of the indicators with the events that followed them, and pooling the records of several centers of one sponsor provides the volume that one site cannot. Query backlog and reporting timeliness can be recovered from most trial databases, while operative time by complexity level is available only where the site recorded the level.</w:t>
      </w:r>
    </w:p>
    <w:p>
      <w:pPr>
        <w:ind w:firstLine="720"/>
        <w:jc w:val="both"/>
      </w:pPr>
      <w:r>
        <w:t>Applying the instrument set to the documentation of a completed hip or knee device investigation tests the transfer between specialties without a new investigation. Mapping each instrument to 21 CFR Part 812 tests the transfer to the regime under which most of the nonhospital organizations in the registry operate, and a second coder applied to the registry classification addresses the reproducibility limitation recorded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cs="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cs="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