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Conclusion</w:t>
      </w:r>
    </w:p>
    <w:p>
      <w:pPr>
        <w:ind w:firstLine="720"/>
        <w:jc w:val="both"/>
      </w:pPr>
      <w:r>
        <w:t xml:space="preserve">This thesis asked what structure an investigational site can use to carry its part of the responsibility for quality during the conduct of a shoulder device investigation. ICH E6(R3) and ISO 14155:2026 </w:t>
      </w:r>
      <w:r>
        <w:rPr>
          <w:vertAlign w:val="subscript"/>
        </w:rPr>
        <w:t>[6, 8]</w:t>
      </w:r>
      <w:r>
        <w:t xml:space="preserve"> give the investigator duties that run for the whole investigation while formal quality management stays with the sponsor, so a site can conduct an investigation well and still hold no account of how it controlled that conduct. The answer of the thesis is a site-centered operational quality framework. Its four pillars, Governance, Risk Management, Operational Controls, and Performance Oversight, are carried by twenty-four instruments that a site can run on paper or within the systems it already uses, organized in time by a seven-phase lifecycle and in extent by three implementation levels.</w:t>
      </w:r>
    </w:p>
    <w:p>
      <w:pPr>
        <w:ind w:firstLine="720"/>
        <w:jc w:val="both"/>
      </w:pPr>
      <w:r>
        <w:t xml:space="preserve">The four objectives were met at the level of design, starting with the clause-by-clause comparison of ICH E6(R3), ISO 14155:2026, and MDR Annex XV </w:t>
      </w:r>
      <w:r>
        <w:rPr>
          <w:vertAlign w:val="subscript"/>
        </w:rPr>
        <w:t>[10]</w:t>
      </w:r>
      <w:r>
        <w:t>, which found five site-level gaps. The most consequential is that no text gives the site a role in observing a surgeon's proficiency once the investigation has started. From these gaps and the literature, together with the operating conditions of the target center, we derived twelve site-level CtQ domains and twelve design requirements, and each component of the framework traces back to one of them. The design also needed elements that the objectives had not foreseen, since the timing of a control proved as important as its content in a surgical investigation, and a set of records proved useful only when it led to decisions about how the site works.</w:t>
      </w:r>
    </w:p>
    <w:p>
      <w:pPr>
        <w:ind w:firstLine="720"/>
        <w:jc w:val="both"/>
      </w:pPr>
      <w:r>
        <w:t>The one empirical finding of the thesis came from the registry analysis. In industry-sponsored investigations of implantable shoulder devices, nonhospital organizations such as independent orthopedic practices and ambulatory centers hosted 108 of the 347 site records (31.1%), and most of these organizations were located in the United States. The finding describes where the investigations take place and says nothing about how well these organizations conduct them. It made the nonhospital organization the design case, so the framework was built to work first where it can assume the least support.</w:t>
      </w:r>
    </w:p>
    <w:p>
      <w:pPr>
        <w:ind w:firstLine="720"/>
        <w:jc w:val="both"/>
      </w:pPr>
      <w:r>
        <w:t>Most of the framework brings to the site a solution that the manufacturer and the medical laboratory already use, a documented quality system, and in that sense it organizes duties the site already holds. Its most original part is the observation of the surgeon during conduct, which no clause requires and which the surgical trials literature handles at entry. The framework asks the site to act as a proactive quality agent for the risks that only it can see, while the sponsor keeps the design of the investigation and final responsibility stays where the regulations place it. It is meant to sit alongside the sponsor's quality system, with a structure that belongs to the site and serves every investigation it conducts, and with content that comes from each investigation and its sponsor.</w:t>
      </w:r>
    </w:p>
    <w:p>
      <w:pPr>
        <w:ind w:firstLine="720"/>
        <w:jc w:val="both"/>
      </w:pPr>
      <w:r>
        <w:t>The discussion added practical results to the design, beginning with the order in which a site starts the instruments from the decision at feasibility to the lessons recorded at close-out. Review frequencies are set by the site itself, except where the risk depends on timing, as with the learning curve. It also showed that much of the framework belongs to the site and passes from one investigation to the next, so the cost of setting it up falls mostly on the first investigation. The work that grows with the number of cases is the work for which the site is already paid. Transfer to other implant-based specialties and to the regulation of the United States, where most of the nonhospital organizations in the registry operate, is plausible and untested.</w:t>
      </w:r>
    </w:p>
    <w:p>
      <w:pPr>
        <w:ind w:firstLine="720"/>
        <w:jc w:val="both"/>
      </w:pPr>
      <w:r>
        <w:t>No site has operated the framework, so every claim about its effects remains an expectation. The thesis reports four of the six activities of the Design Science Research Methodology, and its only evaluation checked the design against the knowledge it was built from. The next step is a demonstration that runs the full set through a simulated or retrospective case series, followed by a content review with sites, monitors, and surgeons and a feasibility study in a nonhospital organization and a hospital. The effects of the framework on conduct should then be evaluated with a concurrent comparison, because comparisons before and after adoption at one site are likely to report an improvement whatever the framework does.</w:t>
      </w:r>
    </w:p>
    <w:p>
      <w:pPr>
        <w:ind w:firstLine="720"/>
        <w:jc w:val="both"/>
      </w:pPr>
      <w:r>
        <w:t>The revisions of ICH guidance have moved toward asking each party responsible for quality to show how its processes find and control risk, and the investigational site is now one of those parties without a described way to do so. This thesis offers one way, derived from the texts that govern device investigations and shaped so that a center with one investigator and one coordinator can run it. Whether such centers will adopt it, and whether it changes what happens to participants and to the data they provide, is the question the next study has to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