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3947228"/>
      <w:r w:rsidRPr="00392B46">
        <w:rPr>
          <w:sz w:val="48"/>
          <w:szCs w:val="48"/>
        </w:rPr>
        <w:t>Resumo</w:t>
      </w:r>
      <w:bookmarkEnd w:id="9"/>
      <w:bookmarkEnd w:id="10"/>
      <w:bookmarkEnd w:id="11"/>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2" w:name="_lzanvg8hpapa" w:colFirst="0" w:colLast="0"/>
      <w:bookmarkStart w:id="13" w:name="_Toc241922280"/>
      <w:bookmarkStart w:id="14" w:name="_Toc243947229"/>
      <w:bookmarkEnd w:id="12"/>
      <w:r>
        <w:rPr>
          <w:sz w:val="48"/>
          <w:szCs w:val="48"/>
          <w:lang w:val="en-US"/>
        </w:rPr>
        <w:t>Abstract</w:t>
      </w:r>
      <w:bookmarkEnd w:id="13"/>
      <w:bookmarkEnd w:id="14"/>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5" w:name="_x60j10qd261s" w:colFirst="0" w:colLast="0"/>
      <w:bookmarkEnd w:id="15"/>
      <w:r>
        <w:rPr>
          <w:lang w:val="en-US"/>
        </w:rPr>
      </w:r>
      <w:bookmarkStart w:id="16" w:name="_fp773dsuvnh6" w:colFirst="0" w:colLast="0"/>
      <w:bookmarkStart w:id="17" w:name="_Toc241922281"/>
      <w:bookmarkStart w:id="18" w:name="_Toc243947230"/>
      <w:bookmarkEnd w:id="16"/>
      <w:r>
        <w:rPr>
          <w:sz w:val="48"/>
          <w:szCs w:val="48"/>
          <w:lang w:val="en-US"/>
        </w:rPr>
        <w:t>Acknowledgments</w:t>
      </w:r>
      <w:bookmarkEnd w:id="17"/>
      <w:bookmarkEnd w:id="18"/>
    </w:p>
    <w:p w14:paraId="237EB8DF" w14:textId="77777777" w:rsidR="005B6E92" w:rsidRPr="00933DA5" w:rsidRDefault="00363464">
      <w:pPr>
        <w:pStyle w:val="Ttulo1"/>
        <w:ind w:firstLine="0"/>
        <w:rPr>
          <w:sz w:val="48"/>
          <w:szCs w:val="48"/>
          <w:lang w:val="en-US"/>
        </w:rPr>
      </w:pPr>
      <w:bookmarkStart w:id="19" w:name="_dey016u0wi0m" w:colFirst="0" w:colLast="0"/>
      <w:bookmarkEnd w:id="19"/>
      <w:r>
        <w:rPr>
          <w:lang w:val="en-US"/>
        </w:rPr>
      </w:r>
    </w:p>
    <w:p w14:paraId="4F871402" w14:textId="77777777" w:rsidR="005B6E92" w:rsidRPr="00933DA5" w:rsidRDefault="00363464">
      <w:pPr>
        <w:pStyle w:val="Ttulo1"/>
        <w:ind w:firstLine="0"/>
        <w:rPr>
          <w:sz w:val="48"/>
          <w:szCs w:val="48"/>
          <w:lang w:val="en-US"/>
        </w:rPr>
      </w:pPr>
      <w:bookmarkStart w:id="20" w:name="_xwknq0j78j8k" w:colFirst="0" w:colLast="0"/>
      <w:bookmarkStart w:id="21" w:name="_Toc241922282"/>
      <w:bookmarkStart w:id="22" w:name="_Toc243947231"/>
      <w:bookmarkEnd w:id="20"/>
      <w:r>
        <w:rPr>
          <w:sz w:val="48"/>
          <w:szCs w:val="48"/>
          <w:lang w:val="en-US"/>
        </w:rPr>
        <w:t>List of Abbreviations</w:t>
      </w:r>
      <w:bookmarkEnd w:id="21"/>
      <w:bookmarkEnd w:id="22"/>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363464" w:rsidP="00AE2401">
      <w:pPr>
        <w:pStyle w:val="Ttulo1"/>
        <w:ind w:firstLine="0"/>
        <w:rPr>
          <w:sz w:val="48"/>
          <w:szCs w:val="48"/>
          <w:lang w:val="en-US"/>
        </w:rPr>
      </w:pPr>
      <w:bookmarkStart w:id="25" w:name="_Toc241922283"/>
      <w:bookmarkStart w:id="26" w:name="_Toc243947232"/>
      <w:r>
        <w:rPr>
          <w:sz w:val="48"/>
          <w:szCs w:val="48"/>
          <w:lang w:val="en-US"/>
        </w:rPr>
        <w:t>List of Tables</w:t>
      </w:r>
      <w:bookmarkEnd w:id="25"/>
      <w:bookmarkEnd w:id="26"/>
    </w:p>
    <w:p>
      <w:pPr>
        <w:ind w:firstLine="0"/>
      </w:pPr>
      <w:r/>
      <w:r/>
      <w:r/>
      <w:r>
        <w:t>Update this field (F9) to build the list.</w:t>
      </w:r>
      <w:r/>
    </w:p>
    <w:p w14:paraId="1B2B2A1A" w14:textId="77777777" w:rsidR="00777C0F" w:rsidRPr="00933DA5" w:rsidRDefault="00777C0F">
      <w:pPr>
        <w:rPr>
          <w:lang w:val="en-US"/>
        </w:rPr>
      </w:pPr>
    </w:p>
    <w:p w14:paraId="61FAF78B" w14:textId="77777777" w:rsidR="00777C0F" w:rsidRPr="00933DA5" w:rsidRDefault="00363464" w:rsidP="00AE2401">
      <w:pPr>
        <w:pStyle w:val="Ttulo1"/>
        <w:ind w:firstLine="0"/>
        <w:rPr>
          <w:sz w:val="48"/>
          <w:szCs w:val="48"/>
          <w:lang w:val="en-US"/>
        </w:rPr>
      </w:pPr>
      <w:bookmarkStart w:id="27" w:name="_Toc241922284"/>
      <w:bookmarkStart w:id="28" w:name="_Toc243947233"/>
      <w:r>
        <w:rPr>
          <w:sz w:val="48"/>
          <w:szCs w:val="48"/>
          <w:lang w:val="en-US"/>
        </w:rPr>
        <w:t>List of Figures</w:t>
      </w:r>
      <w:bookmarkEnd w:id="27"/>
      <w:bookmarkEnd w:id="28"/>
    </w:p>
    <w:p>
      <w:pPr>
        <w:ind w:firstLine="0"/>
      </w:pPr>
      <w:r/>
      <w:r/>
      <w:r/>
      <w:r>
        <w:t>Update this field (F9) to build the list.</w:t>
      </w:r>
      <w:r/>
    </w:p>
    <w:p w14:paraId="76579E63" w14:textId="77777777" w:rsidR="00777C0F" w:rsidRPr="00933DA5" w:rsidRDefault="00777C0F">
      <w:pPr>
        <w:rPr>
          <w:lang w:val="en-US"/>
        </w:rPr>
      </w:pPr>
    </w:p>
    <w:bookmarkStart w:id="29" w:name="_Toc241922285" w:displacedByCustomXml="next"/>
    <w:bookmarkStart w:id="30" w:name="_Toc243947234"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494A1A92" w14:textId="77777777" w:rsidR="00AD48E1" w:rsidRDefault="00AE2401" w:rsidP="00AE2401">
          <w:pPr>
            <w:pStyle w:val="Ttulo1"/>
            <w:ind w:firstLine="0"/>
            <w:rPr>
              <w:noProof/>
            </w:rPr>
          </w:pPr>
          <w:r>
            <w:rPr>
              <w:sz w:val="48"/>
              <w:szCs w:val="48"/>
              <w:lang w:val="en-US"/>
            </w:rPr>
            <w:t>Index:</w:t>
          </w:r>
          <w:bookmarkEnd w:id="30"/>
          <w:bookmarkEnd w:id="29"/>
          <w:r>
            <w:rPr>
              <w:b w:val="0"/>
              <w:bCs w:val="0"/>
              <w:lang w:val="en-US"/>
            </w:rPr>
            <w:fldChar w:fldCharType="begin"/>
          </w:r>
          <w:r>
            <w:rPr>
              <w:lang w:val="en-US"/>
            </w:rPr>
            <w:instrText>TOC \o "1-3" \h \z \u</w:instrText>
          </w:r>
          <w:r>
            <w:rPr>
              <w:b w:val="0"/>
              <w:bCs w:val="0"/>
              <w:lang w:val="en-US"/>
            </w:rPr>
            <w:fldChar w:fldCharType="separate"/>
          </w:r>
        </w:p>
        <w:p w14:paraId="3AEA2337" w14:textId="73BA7C41"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28" w:history="1">
            <w:r w:rsidRPr="00AD48E1">
              <w:rPr>
                <w:rStyle w:val="Hyperlink"/>
                <w:rFonts w:ascii="Times New Roman" w:hAnsi="Times New Roman"/>
                <w:noProof/>
              </w:rPr>
              <w:t>Resumo</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_Toc243947228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3</w:t>
            </w:r>
            <w:r w:rsidRPr="00AD48E1">
              <w:rPr>
                <w:rFonts w:ascii="Times New Roman" w:hAnsi="Times New Roman"/>
                <w:noProof/>
                <w:webHidden/>
              </w:rPr>
              <w:fldChar w:fldCharType="end"/>
            </w:r>
          </w:hyperlink>
        </w:p>
        <w:p w14:paraId="4355B618" w14:textId="6206C20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29" w:history="1">
            <w:r w:rsidRPr="00AD48E1">
              <w:rPr>
                <w:rStyle w:val="Hyperlink"/>
                <w:rFonts w:ascii="Times New Roman" w:hAnsi="Times New Roman"/>
                <w:noProof/>
                <w:lang w:val="en-US"/>
              </w:rPr>
              <w:t>Abstract</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_Toc243947229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4</w:t>
            </w:r>
            <w:r w:rsidRPr="00AD48E1">
              <w:rPr>
                <w:rFonts w:ascii="Times New Roman" w:hAnsi="Times New Roman"/>
                <w:noProof/>
                <w:webHidden/>
              </w:rPr>
              <w:fldChar w:fldCharType="end"/>
            </w:r>
          </w:hyperlink>
        </w:p>
        <w:p w14:paraId="4A378AA3" w14:textId="0C846F07"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0" w:history="1">
            <w:r w:rsidRPr="00AD48E1">
              <w:rPr>
                <w:rStyle w:val="Hyperlink"/>
                <w:rFonts w:ascii="Times New Roman" w:hAnsi="Times New Roman"/>
                <w:noProof/>
                <w:lang w:val="en-US"/>
              </w:rPr>
              <w:t>Acknowledgments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_Toc243947230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5</w:t>
            </w:r>
            <w:r w:rsidRPr="00AD48E1">
              <w:rPr>
                <w:rFonts w:ascii="Times New Roman" w:hAnsi="Times New Roman"/>
                <w:noProof/>
                <w:webHidden/>
              </w:rPr>
              <w:fldChar w:fldCharType="end"/>
            </w:r>
          </w:hyperlink>
        </w:p>
        <w:p w14:paraId="4FCE79D6" w14:textId="64329BB8"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1" w:history="1">
            <w:r w:rsidRPr="00AD48E1">
              <w:rPr>
                <w:rStyle w:val="Hyperlink"/>
                <w:rFonts w:ascii="Times New Roman" w:hAnsi="Times New Roman"/>
                <w:noProof/>
                <w:lang w:val="en-US"/>
              </w:rPr>
              <w:t>List of Abbreviations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_Toc243947231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6</w:t>
            </w:r>
            <w:r w:rsidRPr="00AD48E1">
              <w:rPr>
                <w:rFonts w:ascii="Times New Roman" w:hAnsi="Times New Roman"/>
                <w:noProof/>
                <w:webHidden/>
              </w:rPr>
              <w:fldChar w:fldCharType="end"/>
            </w:r>
          </w:hyperlink>
        </w:p>
        <w:p w14:paraId="3F24F2CA" w14:textId="29E8ADA1"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2" w:history="1">
            <w:r w:rsidRPr="00AD48E1">
              <w:rPr>
                <w:rStyle w:val="Hyperlink"/>
                <w:rFonts w:ascii="Times New Roman" w:hAnsi="Times New Roman"/>
                <w:noProof/>
                <w:lang w:val="en-US"/>
              </w:rPr>
              <w:t>List of Tables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_Toc243947232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07830661" w14:textId="36A2B3F9"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3" w:history="1">
            <w:r w:rsidRPr="00AD48E1">
              <w:rPr>
                <w:rStyle w:val="Hyperlink"/>
                <w:rFonts w:ascii="Times New Roman" w:hAnsi="Times New Roman"/>
                <w:noProof/>
                <w:lang w:val="en-US"/>
              </w:rPr>
              <w:t>List of Figures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_Toc243947233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4898664B" w14:textId="7F3C64BC"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4" w:history="1">
            <w:r w:rsidRPr="00AD48E1">
              <w:rPr>
                <w:rStyle w:val="Hyperlink"/>
                <w:rFonts w:ascii="Times New Roman" w:hAnsi="Times New Roman"/>
                <w:noProof/>
                <w:lang w:val="en-US"/>
              </w:rPr>
              <w:t>Index:</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199927C9" w14:textId="2E069E3C"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5" w:history="1">
            <w:r w:rsidRPr="00AD48E1">
              <w:rPr>
                <w:rStyle w:val="Hyperlink"/>
                <w:rFonts w:ascii="Times New Roman" w:hAnsi="Times New Roman"/>
                <w:noProof/>
                <w:lang w:val="en-US"/>
              </w:rPr>
              <w:t>1. Introduction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_Toc243947235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13</w:t>
            </w:r>
            <w:r w:rsidRPr="00AD48E1">
              <w:rPr>
                <w:rFonts w:ascii="Times New Roman" w:hAnsi="Times New Roman"/>
                <w:noProof/>
                <w:webHidden/>
              </w:rPr>
              <w:fldChar w:fldCharType="end"/>
            </w:r>
          </w:hyperlink>
        </w:p>
        <w:p w14:paraId="23980A03" w14:textId="14417125"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6" w:history="1">
            <w:r w:rsidRPr="00AD48E1">
              <w:rPr>
                <w:rStyle w:val="Hyperlink"/>
                <w:rFonts w:ascii="Times New Roman" w:hAnsi="Times New Roman"/>
                <w:noProof/>
                <w:sz w:val="24"/>
                <w:szCs w:val="24"/>
                <w:lang w:val="en-US"/>
              </w:rPr>
              <w:t>1.1 Historical Overview and Recent Updates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13</w:t>
            </w:r>
            <w:r w:rsidRPr="00AD48E1">
              <w:rPr>
                <w:rFonts w:ascii="Times New Roman" w:hAnsi="Times New Roman"/>
                <w:noProof/>
                <w:webHidden/>
                <w:sz w:val="24"/>
                <w:szCs w:val="24"/>
              </w:rPr>
              <w:fldChar w:fldCharType="end"/>
            </w:r>
          </w:hyperlink>
        </w:p>
        <w:p w14:paraId="1AC4CD37" w14:textId="2E4BD71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7" w:history="1">
            <w:r w:rsidRPr="00AD48E1">
              <w:rPr>
                <w:rStyle w:val="Hyperlink"/>
                <w:rFonts w:ascii="Times New Roman" w:hAnsi="Times New Roman"/>
                <w:noProof/>
                <w:sz w:val="24"/>
                <w:szCs w:val="24"/>
                <w:lang w:val="en-US"/>
              </w:rPr>
              <w:t>1.2 Surgical Device Investigations as a Distinct Methodological Context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15</w:t>
            </w:r>
            <w:r w:rsidRPr="00AD48E1">
              <w:rPr>
                <w:rFonts w:ascii="Times New Roman" w:hAnsi="Times New Roman"/>
                <w:noProof/>
                <w:webHidden/>
                <w:sz w:val="24"/>
                <w:szCs w:val="24"/>
              </w:rPr>
              <w:fldChar w:fldCharType="end"/>
            </w:r>
          </w:hyperlink>
        </w:p>
        <w:p w14:paraId="0B016C55" w14:textId="2C5259C1"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8" w:history="1">
            <w:r w:rsidRPr="00AD48E1">
              <w:rPr>
                <w:rStyle w:val="Hyperlink"/>
                <w:rFonts w:ascii="Times New Roman" w:hAnsi="Times New Roman"/>
                <w:noProof/>
                <w:sz w:val="24"/>
                <w:szCs w:val="24"/>
                <w:lang w:val="en-US"/>
              </w:rPr>
              <w:t>1.3 Quality Responsibility at the Investigational Site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16</w:t>
            </w:r>
            <w:r w:rsidRPr="00AD48E1">
              <w:rPr>
                <w:rFonts w:ascii="Times New Roman" w:hAnsi="Times New Roman"/>
                <w:noProof/>
                <w:webHidden/>
                <w:sz w:val="24"/>
                <w:szCs w:val="24"/>
              </w:rPr>
              <w:fldChar w:fldCharType="end"/>
            </w:r>
          </w:hyperlink>
        </w:p>
        <w:p w14:paraId="50A5B8F1" w14:textId="29B70E4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9" w:history="1">
            <w:r w:rsidRPr="00AD48E1">
              <w:rPr>
                <w:rStyle w:val="Hyperlink"/>
                <w:rFonts w:ascii="Times New Roman" w:hAnsi="Times New Roman"/>
                <w:noProof/>
                <w:sz w:val="24"/>
                <w:szCs w:val="24"/>
                <w:lang w:val="en-US"/>
              </w:rPr>
              <w:t>1.4 What Has Been Built for Sites, and for Whom</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17</w:t>
            </w:r>
            <w:r w:rsidRPr="00AD48E1">
              <w:rPr>
                <w:rFonts w:ascii="Times New Roman" w:hAnsi="Times New Roman"/>
                <w:noProof/>
                <w:webHidden/>
                <w:sz w:val="24"/>
                <w:szCs w:val="24"/>
              </w:rPr>
              <w:fldChar w:fldCharType="end"/>
            </w:r>
          </w:hyperlink>
        </w:p>
        <w:p w14:paraId="00B4DB02" w14:textId="72E2497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0" w:history="1">
            <w:r w:rsidRPr="00AD48E1">
              <w:rPr>
                <w:rStyle w:val="Hyperlink"/>
                <w:rFonts w:ascii="Times New Roman" w:hAnsi="Times New Roman"/>
                <w:noProof/>
                <w:sz w:val="24"/>
                <w:szCs w:val="24"/>
                <w:lang w:val="en-US"/>
              </w:rPr>
              <w:t>1.4.1 Instruments written for the sponsor and the trial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17</w:t>
            </w:r>
            <w:r w:rsidRPr="00AD48E1">
              <w:rPr>
                <w:rFonts w:ascii="Times New Roman" w:hAnsi="Times New Roman"/>
                <w:noProof/>
                <w:webHidden/>
                <w:sz w:val="24"/>
                <w:szCs w:val="24"/>
              </w:rPr>
              <w:fldChar w:fldCharType="end"/>
            </w:r>
          </w:hyperlink>
        </w:p>
        <w:p w14:paraId="35428CF5" w14:textId="549BE0F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1" w:history="1">
            <w:r w:rsidRPr="00AD48E1">
              <w:rPr>
                <w:rStyle w:val="Hyperlink"/>
                <w:rFonts w:ascii="Times New Roman" w:hAnsi="Times New Roman"/>
                <w:noProof/>
                <w:sz w:val="24"/>
                <w:szCs w:val="24"/>
                <w:lang w:val="en-US"/>
              </w:rPr>
              <w:t>1.4.2 Instruments that assess the site from outside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19</w:t>
            </w:r>
            <w:r w:rsidRPr="00AD48E1">
              <w:rPr>
                <w:rFonts w:ascii="Times New Roman" w:hAnsi="Times New Roman"/>
                <w:noProof/>
                <w:webHidden/>
                <w:sz w:val="24"/>
                <w:szCs w:val="24"/>
              </w:rPr>
              <w:fldChar w:fldCharType="end"/>
            </w:r>
          </w:hyperlink>
        </w:p>
        <w:p w14:paraId="55265371" w14:textId="19B6768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2" w:history="1">
            <w:r w:rsidRPr="00AD48E1">
              <w:rPr>
                <w:rStyle w:val="Hyperlink"/>
                <w:rFonts w:ascii="Times New Roman" w:hAnsi="Times New Roman"/>
                <w:noProof/>
                <w:sz w:val="24"/>
                <w:szCs w:val="24"/>
                <w:lang w:val="en-US"/>
              </w:rPr>
              <w:t>1.5 Aim, Objectives, and Scope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20</w:t>
            </w:r>
            <w:r w:rsidRPr="00AD48E1">
              <w:rPr>
                <w:rFonts w:ascii="Times New Roman" w:hAnsi="Times New Roman"/>
                <w:noProof/>
                <w:webHidden/>
                <w:sz w:val="24"/>
                <w:szCs w:val="24"/>
              </w:rPr>
              <w:fldChar w:fldCharType="end"/>
            </w:r>
          </w:hyperlink>
        </w:p>
        <w:p w14:paraId="3A5C037C" w14:textId="6933A6C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43" w:history="1">
            <w:r w:rsidRPr="00AD48E1">
              <w:rPr>
                <w:rStyle w:val="Hyperlink"/>
                <w:rFonts w:ascii="Times New Roman" w:hAnsi="Times New Roman"/>
                <w:noProof/>
                <w:lang w:val="en-US"/>
              </w:rPr>
              <w:t>2. Methodology</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_Toc243947243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21</w:t>
            </w:r>
            <w:r w:rsidRPr="00AD48E1">
              <w:rPr>
                <w:rFonts w:ascii="Times New Roman" w:hAnsi="Times New Roman"/>
                <w:noProof/>
                <w:webHidden/>
              </w:rPr>
              <w:fldChar w:fldCharType="end"/>
            </w:r>
          </w:hyperlink>
        </w:p>
        <w:p w14:paraId="76FE7DB7" w14:textId="41894B62"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4" w:history="1">
            <w:r w:rsidRPr="00AD48E1">
              <w:rPr>
                <w:rStyle w:val="Hyperlink"/>
                <w:rFonts w:ascii="Times New Roman" w:hAnsi="Times New Roman"/>
                <w:noProof/>
                <w:sz w:val="24"/>
                <w:szCs w:val="24"/>
                <w:lang w:val="en-US"/>
              </w:rPr>
              <w:t>2.1 Design research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21</w:t>
            </w:r>
            <w:r w:rsidRPr="00AD48E1">
              <w:rPr>
                <w:rFonts w:ascii="Times New Roman" w:hAnsi="Times New Roman"/>
                <w:noProof/>
                <w:webHidden/>
                <w:sz w:val="24"/>
                <w:szCs w:val="24"/>
              </w:rPr>
              <w:fldChar w:fldCharType="end"/>
            </w:r>
          </w:hyperlink>
        </w:p>
        <w:p w14:paraId="1C29D53C" w14:textId="4EF03C1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5" w:history="1">
            <w:r w:rsidRPr="00AD48E1">
              <w:rPr>
                <w:rStyle w:val="Hyperlink"/>
                <w:rFonts w:ascii="Times New Roman" w:hAnsi="Times New Roman"/>
                <w:noProof/>
                <w:sz w:val="24"/>
                <w:szCs w:val="24"/>
                <w:lang w:val="en-US"/>
              </w:rPr>
              <w:t>2.1.1 Design science research methodology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21</w:t>
            </w:r>
            <w:r w:rsidRPr="00AD48E1">
              <w:rPr>
                <w:rFonts w:ascii="Times New Roman" w:hAnsi="Times New Roman"/>
                <w:noProof/>
                <w:webHidden/>
                <w:sz w:val="24"/>
                <w:szCs w:val="24"/>
              </w:rPr>
              <w:fldChar w:fldCharType="end"/>
            </w:r>
          </w:hyperlink>
        </w:p>
        <w:p w14:paraId="0BE62D1A" w14:textId="24C66F6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6" w:history="1">
            <w:r w:rsidRPr="00AD48E1">
              <w:rPr>
                <w:rStyle w:val="Hyperlink"/>
                <w:rFonts w:ascii="Times New Roman" w:hAnsi="Times New Roman"/>
                <w:noProof/>
                <w:sz w:val="24"/>
                <w:szCs w:val="24"/>
                <w:lang w:val="en-US"/>
              </w:rPr>
              <w:t>2.1.2 Overview of the research process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22</w:t>
            </w:r>
            <w:r w:rsidRPr="00AD48E1">
              <w:rPr>
                <w:rFonts w:ascii="Times New Roman" w:hAnsi="Times New Roman"/>
                <w:noProof/>
                <w:webHidden/>
                <w:sz w:val="24"/>
                <w:szCs w:val="24"/>
              </w:rPr>
              <w:fldChar w:fldCharType="end"/>
            </w:r>
          </w:hyperlink>
        </w:p>
        <w:p w14:paraId="185CEACE" w14:textId="49044DA7"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7" w:history="1">
            <w:r w:rsidRPr="00AD48E1">
              <w:rPr>
                <w:rStyle w:val="Hyperlink"/>
                <w:rFonts w:ascii="Times New Roman" w:hAnsi="Times New Roman"/>
                <w:noProof/>
                <w:sz w:val="24"/>
                <w:szCs w:val="24"/>
                <w:lang w:val="en-US"/>
              </w:rPr>
              <w:t>2.2 Problem identification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3FA8A8B1" w14:textId="0A8D2B37"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8" w:history="1">
            <w:r w:rsidRPr="00AD48E1">
              <w:rPr>
                <w:rStyle w:val="Hyperlink"/>
                <w:rFonts w:ascii="Times New Roman" w:hAnsi="Times New Roman"/>
                <w:noProof/>
                <w:sz w:val="24"/>
                <w:szCs w:val="24"/>
                <w:lang w:val="en-US"/>
              </w:rPr>
              <w:t>2.2.1 Normative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445C6F8F" w14:textId="227D7C8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9" w:history="1">
            <w:r w:rsidRPr="00AD48E1">
              <w:rPr>
                <w:rStyle w:val="Hyperlink"/>
                <w:rFonts w:ascii="Times New Roman" w:hAnsi="Times New Roman"/>
                <w:noProof/>
                <w:sz w:val="24"/>
                <w:szCs w:val="24"/>
                <w:lang w:val="en-US"/>
              </w:rPr>
              <w:t xml:space="preserve">2.2.2 </w:t>
            </w:r>
            <w:r w:rsidRPr="00AD48E1">
              <w:rPr>
                <w:rStyle w:val="Hyperlink"/>
                <w:rFonts w:ascii="Times New Roman" w:hAnsi="Times New Roman"/>
                <w:noProof/>
                <w:sz w:val="24"/>
                <w:szCs w:val="24"/>
              </w:rPr>
              <w:t>Reading and comparison of the normative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293091F3" w14:textId="2EE0F91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0" w:history="1">
            <w:r w:rsidRPr="00AD48E1">
              <w:rPr>
                <w:rStyle w:val="Hyperlink"/>
                <w:rFonts w:ascii="Times New Roman" w:hAnsi="Times New Roman"/>
                <w:noProof/>
                <w:sz w:val="24"/>
                <w:szCs w:val="24"/>
                <w:lang w:val="en-US"/>
              </w:rPr>
              <w:t>2.2.3 Literature review</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24</w:t>
            </w:r>
            <w:r w:rsidRPr="00AD48E1">
              <w:rPr>
                <w:rFonts w:ascii="Times New Roman" w:hAnsi="Times New Roman"/>
                <w:noProof/>
                <w:webHidden/>
                <w:sz w:val="24"/>
                <w:szCs w:val="24"/>
              </w:rPr>
              <w:fldChar w:fldCharType="end"/>
            </w:r>
          </w:hyperlink>
        </w:p>
        <w:p w14:paraId="475BD851" w14:textId="0C97809C"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1" w:history="1">
            <w:r w:rsidRPr="00AD48E1">
              <w:rPr>
                <w:rStyle w:val="Hyperlink"/>
                <w:rFonts w:ascii="Times New Roman" w:hAnsi="Times New Roman"/>
                <w:noProof/>
                <w:sz w:val="24"/>
                <w:szCs w:val="24"/>
                <w:lang w:val="en-US"/>
              </w:rPr>
              <w:t>2.2.4 Analysis of existing frameworks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29866861" w14:textId="100936E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2" w:history="1">
            <w:r w:rsidRPr="00AD48E1">
              <w:rPr>
                <w:rStyle w:val="Hyperlink"/>
                <w:rFonts w:ascii="Times New Roman" w:hAnsi="Times New Roman"/>
                <w:noProof/>
                <w:sz w:val="24"/>
                <w:szCs w:val="24"/>
                <w:lang w:val="en-US"/>
              </w:rPr>
              <w:t>2.3 Registry analysis of investigational site characteristics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245F199F" w14:textId="5348EA4C"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3" w:history="1">
            <w:r w:rsidRPr="00AD48E1">
              <w:rPr>
                <w:rStyle w:val="Hyperlink"/>
                <w:rFonts w:ascii="Times New Roman" w:hAnsi="Times New Roman"/>
                <w:noProof/>
                <w:sz w:val="24"/>
                <w:szCs w:val="24"/>
                <w:lang w:val="en-US"/>
              </w:rPr>
              <w:t>2.3.1 Data source and search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6F66AE11" w14:textId="5A4F783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4" w:history="1">
            <w:r w:rsidRPr="00AD48E1">
              <w:rPr>
                <w:rStyle w:val="Hyperlink"/>
                <w:rFonts w:ascii="Times New Roman" w:hAnsi="Times New Roman"/>
                <w:noProof/>
                <w:sz w:val="24"/>
                <w:szCs w:val="24"/>
                <w:lang w:val="en-US"/>
              </w:rPr>
              <w:t>2.3.2 Classification of sites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5130C30D" w14:textId="263B84A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5" w:history="1">
            <w:r w:rsidRPr="00AD48E1">
              <w:rPr>
                <w:rStyle w:val="Hyperlink"/>
                <w:rFonts w:ascii="Times New Roman" w:hAnsi="Times New Roman"/>
                <w:noProof/>
                <w:sz w:val="24"/>
                <w:szCs w:val="24"/>
                <w:lang w:val="en-US"/>
              </w:rPr>
              <w:t>2.4 Definition of the objectives of a solution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56B7B3BF" w14:textId="315E781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6" w:history="1">
            <w:r w:rsidRPr="00AD48E1">
              <w:rPr>
                <w:rStyle w:val="Hyperlink"/>
                <w:rFonts w:ascii="Times New Roman" w:hAnsi="Times New Roman"/>
                <w:noProof/>
                <w:sz w:val="24"/>
                <w:szCs w:val="24"/>
                <w:lang w:val="en-US"/>
              </w:rPr>
              <w:t>2.4.1 Selection criteria for site-level CtQ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6077810C" w14:textId="5B02577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7" w:history="1">
            <w:r w:rsidRPr="00AD48E1">
              <w:rPr>
                <w:rStyle w:val="Hyperlink"/>
                <w:rFonts w:ascii="Times New Roman" w:hAnsi="Times New Roman"/>
                <w:noProof/>
                <w:sz w:val="24"/>
                <w:szCs w:val="24"/>
                <w:lang w:val="en-US"/>
              </w:rPr>
              <w:t>2.4.2 Derivation of the site-level CtQ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27</w:t>
            </w:r>
            <w:r w:rsidRPr="00AD48E1">
              <w:rPr>
                <w:rFonts w:ascii="Times New Roman" w:hAnsi="Times New Roman"/>
                <w:noProof/>
                <w:webHidden/>
                <w:sz w:val="24"/>
                <w:szCs w:val="24"/>
              </w:rPr>
              <w:fldChar w:fldCharType="end"/>
            </w:r>
          </w:hyperlink>
        </w:p>
        <w:p w14:paraId="639EA151" w14:textId="0A23AB4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8" w:history="1">
            <w:r w:rsidRPr="00AD48E1">
              <w:rPr>
                <w:rStyle w:val="Hyperlink"/>
                <w:rFonts w:ascii="Times New Roman" w:hAnsi="Times New Roman"/>
                <w:noProof/>
                <w:sz w:val="24"/>
                <w:szCs w:val="24"/>
                <w:lang w:val="en-US"/>
              </w:rPr>
              <w:t>2.4.3 Formulation of the design requirements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28</w:t>
            </w:r>
            <w:r w:rsidRPr="00AD48E1">
              <w:rPr>
                <w:rFonts w:ascii="Times New Roman" w:hAnsi="Times New Roman"/>
                <w:noProof/>
                <w:webHidden/>
                <w:sz w:val="24"/>
                <w:szCs w:val="24"/>
              </w:rPr>
              <w:fldChar w:fldCharType="end"/>
            </w:r>
          </w:hyperlink>
        </w:p>
        <w:p w14:paraId="579F9936" w14:textId="75FF48E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9" w:history="1">
            <w:r w:rsidRPr="00AD48E1">
              <w:rPr>
                <w:rStyle w:val="Hyperlink"/>
                <w:rFonts w:ascii="Times New Roman" w:hAnsi="Times New Roman"/>
                <w:noProof/>
                <w:sz w:val="24"/>
                <w:szCs w:val="24"/>
                <w:lang w:val="en-US"/>
              </w:rPr>
              <w:t>2.5 Design and development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20C57EF7" w14:textId="0DB5725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0" w:history="1">
            <w:r w:rsidRPr="00AD48E1">
              <w:rPr>
                <w:rStyle w:val="Hyperlink"/>
                <w:rFonts w:ascii="Times New Roman" w:hAnsi="Times New Roman"/>
                <w:noProof/>
                <w:sz w:val="24"/>
                <w:szCs w:val="24"/>
              </w:rPr>
              <w:t>2.5.1 Derivation of the pillars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53A4951C" w14:textId="0050C9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1" w:history="1">
            <w:r w:rsidRPr="00AD48E1">
              <w:rPr>
                <w:rStyle w:val="Hyperlink"/>
                <w:rFonts w:ascii="Times New Roman" w:hAnsi="Times New Roman"/>
                <w:noProof/>
                <w:sz w:val="24"/>
                <w:szCs w:val="24"/>
                <w:lang w:val="en-US"/>
              </w:rPr>
              <w:t>2.5.2 Development of the operational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6BF922AB" w14:textId="3C00C24F"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62" w:history="1">
            <w:r w:rsidRPr="00AD48E1">
              <w:rPr>
                <w:rStyle w:val="Hyperlink"/>
                <w:rFonts w:ascii="Times New Roman" w:hAnsi="Times New Roman"/>
                <w:noProof/>
                <w:lang w:val="en-US"/>
              </w:rPr>
              <w:t>3. Identified Gaps and Framework Design Requirements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_Toc243947262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30</w:t>
            </w:r>
            <w:r w:rsidRPr="00AD48E1">
              <w:rPr>
                <w:rFonts w:ascii="Times New Roman" w:hAnsi="Times New Roman"/>
                <w:noProof/>
                <w:webHidden/>
              </w:rPr>
              <w:fldChar w:fldCharType="end"/>
            </w:r>
          </w:hyperlink>
        </w:p>
        <w:p w14:paraId="4FB3EF9C" w14:textId="08C94DC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3" w:history="1">
            <w:r w:rsidRPr="00AD48E1">
              <w:rPr>
                <w:rStyle w:val="Hyperlink"/>
                <w:rFonts w:ascii="Times New Roman" w:hAnsi="Times New Roman"/>
                <w:noProof/>
                <w:sz w:val="24"/>
                <w:szCs w:val="24"/>
                <w:lang w:val="en-US"/>
              </w:rPr>
              <w:t>3.1 Scope and analytical basis of this chapter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30</w:t>
            </w:r>
            <w:r w:rsidRPr="00AD48E1">
              <w:rPr>
                <w:rFonts w:ascii="Times New Roman" w:hAnsi="Times New Roman"/>
                <w:noProof/>
                <w:webHidden/>
                <w:sz w:val="24"/>
                <w:szCs w:val="24"/>
              </w:rPr>
              <w:fldChar w:fldCharType="end"/>
            </w:r>
          </w:hyperlink>
        </w:p>
        <w:p w14:paraId="44FC0651" w14:textId="2B336FB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4" w:history="1">
            <w:r w:rsidRPr="00AD48E1">
              <w:rPr>
                <w:rStyle w:val="Hyperlink"/>
                <w:rFonts w:ascii="Times New Roman" w:hAnsi="Times New Roman"/>
                <w:noProof/>
                <w:sz w:val="24"/>
                <w:szCs w:val="24"/>
                <w:lang w:val="en-US"/>
              </w:rPr>
              <w:t>3.2 The regulatory and operational gap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30</w:t>
            </w:r>
            <w:r w:rsidRPr="00AD48E1">
              <w:rPr>
                <w:rFonts w:ascii="Times New Roman" w:hAnsi="Times New Roman"/>
                <w:noProof/>
                <w:webHidden/>
                <w:sz w:val="24"/>
                <w:szCs w:val="24"/>
              </w:rPr>
              <w:fldChar w:fldCharType="end"/>
            </w:r>
          </w:hyperlink>
        </w:p>
        <w:p w14:paraId="138B38AE" w14:textId="36463143"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5" w:history="1">
            <w:r w:rsidRPr="00AD48E1">
              <w:rPr>
                <w:rStyle w:val="Hyperlink"/>
                <w:rFonts w:ascii="Times New Roman" w:hAnsi="Times New Roman"/>
                <w:noProof/>
                <w:sz w:val="24"/>
                <w:szCs w:val="24"/>
                <w:lang w:val="en-US"/>
              </w:rPr>
              <w:t>3.2.1 Site conduct and the clinical evidence of the device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33</w:t>
            </w:r>
            <w:r w:rsidRPr="00AD48E1">
              <w:rPr>
                <w:rFonts w:ascii="Times New Roman" w:hAnsi="Times New Roman"/>
                <w:noProof/>
                <w:webHidden/>
                <w:sz w:val="24"/>
                <w:szCs w:val="24"/>
              </w:rPr>
              <w:fldChar w:fldCharType="end"/>
            </w:r>
          </w:hyperlink>
        </w:p>
        <w:p w14:paraId="5F0A2A39" w14:textId="551BD3A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6" w:history="1">
            <w:r w:rsidRPr="00AD48E1">
              <w:rPr>
                <w:rStyle w:val="Hyperlink"/>
                <w:rFonts w:ascii="Times New Roman" w:hAnsi="Times New Roman"/>
                <w:noProof/>
                <w:sz w:val="24"/>
                <w:szCs w:val="24"/>
                <w:lang w:val="en-US"/>
              </w:rPr>
              <w:t>3.3 Site-level Critical-to-Quality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34</w:t>
            </w:r>
            <w:r w:rsidRPr="00AD48E1">
              <w:rPr>
                <w:rFonts w:ascii="Times New Roman" w:hAnsi="Times New Roman"/>
                <w:noProof/>
                <w:webHidden/>
                <w:sz w:val="24"/>
                <w:szCs w:val="24"/>
              </w:rPr>
              <w:fldChar w:fldCharType="end"/>
            </w:r>
          </w:hyperlink>
        </w:p>
        <w:p w14:paraId="2402C3B2" w14:textId="074327F4"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7" w:history="1">
            <w:r w:rsidRPr="00AD48E1">
              <w:rPr>
                <w:rStyle w:val="Hyperlink"/>
                <w:rFonts w:ascii="Times New Roman" w:hAnsi="Times New Roman"/>
                <w:noProof/>
                <w:sz w:val="24"/>
                <w:szCs w:val="24"/>
                <w:lang w:val="en-US"/>
              </w:rPr>
              <w:t>3.4 Operational conditions constraining the design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37</w:t>
            </w:r>
            <w:r w:rsidRPr="00AD48E1">
              <w:rPr>
                <w:rFonts w:ascii="Times New Roman" w:hAnsi="Times New Roman"/>
                <w:noProof/>
                <w:webHidden/>
                <w:sz w:val="24"/>
                <w:szCs w:val="24"/>
              </w:rPr>
              <w:fldChar w:fldCharType="end"/>
            </w:r>
          </w:hyperlink>
        </w:p>
        <w:p w14:paraId="191A483A" w14:textId="2DB8D66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8" w:history="1">
            <w:r w:rsidRPr="00AD48E1">
              <w:rPr>
                <w:rStyle w:val="Hyperlink"/>
                <w:rFonts w:ascii="Times New Roman" w:hAnsi="Times New Roman"/>
                <w:noProof/>
                <w:sz w:val="24"/>
                <w:szCs w:val="24"/>
                <w:lang w:val="en-US"/>
              </w:rPr>
              <w:t>3.4.1 Design consequences of the five structural conditions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37</w:t>
            </w:r>
            <w:r w:rsidRPr="00AD48E1">
              <w:rPr>
                <w:rFonts w:ascii="Times New Roman" w:hAnsi="Times New Roman"/>
                <w:noProof/>
                <w:webHidden/>
                <w:sz w:val="24"/>
                <w:szCs w:val="24"/>
              </w:rPr>
              <w:fldChar w:fldCharType="end"/>
            </w:r>
          </w:hyperlink>
        </w:p>
        <w:p w14:paraId="20519444" w14:textId="0B00CBD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9" w:history="1">
            <w:r w:rsidRPr="00AD48E1">
              <w:rPr>
                <w:rStyle w:val="Hyperlink"/>
                <w:rFonts w:ascii="Times New Roman" w:hAnsi="Times New Roman"/>
                <w:noProof/>
                <w:sz w:val="24"/>
                <w:szCs w:val="24"/>
                <w:lang w:val="en-US"/>
              </w:rPr>
              <w:t>3.4.2 Operator-dependent variability as a design constraint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39</w:t>
            </w:r>
            <w:r w:rsidRPr="00AD48E1">
              <w:rPr>
                <w:rFonts w:ascii="Times New Roman" w:hAnsi="Times New Roman"/>
                <w:noProof/>
                <w:webHidden/>
                <w:sz w:val="24"/>
                <w:szCs w:val="24"/>
              </w:rPr>
              <w:fldChar w:fldCharType="end"/>
            </w:r>
          </w:hyperlink>
        </w:p>
        <w:p w14:paraId="74B1BB35" w14:textId="035F843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0" w:history="1">
            <w:r w:rsidRPr="00AD48E1">
              <w:rPr>
                <w:rStyle w:val="Hyperlink"/>
                <w:rFonts w:ascii="Times New Roman" w:hAnsi="Times New Roman"/>
                <w:noProof/>
                <w:sz w:val="24"/>
                <w:szCs w:val="24"/>
                <w:lang w:val="en-US"/>
              </w:rPr>
              <w:t>3.4.3 Traceability as a point-of-care obligation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40</w:t>
            </w:r>
            <w:r w:rsidRPr="00AD48E1">
              <w:rPr>
                <w:rFonts w:ascii="Times New Roman" w:hAnsi="Times New Roman"/>
                <w:noProof/>
                <w:webHidden/>
                <w:sz w:val="24"/>
                <w:szCs w:val="24"/>
              </w:rPr>
              <w:fldChar w:fldCharType="end"/>
            </w:r>
          </w:hyperlink>
        </w:p>
        <w:p w14:paraId="6167DD88" w14:textId="5762730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1" w:history="1">
            <w:r w:rsidRPr="00AD48E1">
              <w:rPr>
                <w:rStyle w:val="Hyperlink"/>
                <w:rFonts w:ascii="Times New Roman" w:hAnsi="Times New Roman"/>
                <w:noProof/>
                <w:sz w:val="24"/>
                <w:szCs w:val="24"/>
                <w:lang w:val="en-US"/>
              </w:rPr>
              <w:t>3.4.4 Where these investigations are conducted</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40</w:t>
            </w:r>
            <w:r w:rsidRPr="00AD48E1">
              <w:rPr>
                <w:rFonts w:ascii="Times New Roman" w:hAnsi="Times New Roman"/>
                <w:noProof/>
                <w:webHidden/>
                <w:sz w:val="24"/>
                <w:szCs w:val="24"/>
              </w:rPr>
              <w:fldChar w:fldCharType="end"/>
            </w:r>
          </w:hyperlink>
        </w:p>
        <w:p w14:paraId="68AA9F38" w14:textId="118BF5D2"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2" w:history="1">
            <w:r w:rsidRPr="00AD48E1">
              <w:rPr>
                <w:rStyle w:val="Hyperlink"/>
                <w:rFonts w:ascii="Times New Roman" w:hAnsi="Times New Roman"/>
                <w:noProof/>
                <w:sz w:val="24"/>
                <w:szCs w:val="24"/>
                <w:lang w:val="en-US"/>
              </w:rPr>
              <w:t>3.4.5 The operating conditions of the target center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43</w:t>
            </w:r>
            <w:r w:rsidRPr="00AD48E1">
              <w:rPr>
                <w:rFonts w:ascii="Times New Roman" w:hAnsi="Times New Roman"/>
                <w:noProof/>
                <w:webHidden/>
                <w:sz w:val="24"/>
                <w:szCs w:val="24"/>
              </w:rPr>
              <w:fldChar w:fldCharType="end"/>
            </w:r>
          </w:hyperlink>
        </w:p>
        <w:p w14:paraId="74AB0800" w14:textId="724FFF5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3" w:history="1">
            <w:r w:rsidRPr="00AD48E1">
              <w:rPr>
                <w:rStyle w:val="Hyperlink"/>
                <w:rFonts w:ascii="Times New Roman" w:hAnsi="Times New Roman"/>
                <w:noProof/>
                <w:sz w:val="24"/>
                <w:szCs w:val="24"/>
                <w:lang w:val="en-US"/>
              </w:rPr>
              <w:t>3.5 Design requirements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44</w:t>
            </w:r>
            <w:r w:rsidRPr="00AD48E1">
              <w:rPr>
                <w:rFonts w:ascii="Times New Roman" w:hAnsi="Times New Roman"/>
                <w:noProof/>
                <w:webHidden/>
                <w:sz w:val="24"/>
                <w:szCs w:val="24"/>
              </w:rPr>
              <w:fldChar w:fldCharType="end"/>
            </w:r>
          </w:hyperlink>
        </w:p>
        <w:p w14:paraId="605ECDFA" w14:textId="6E8B82E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74" w:history="1">
            <w:r w:rsidRPr="00AD48E1">
              <w:rPr>
                <w:rStyle w:val="Hyperlink"/>
                <w:rFonts w:ascii="Times New Roman" w:hAnsi="Times New Roman"/>
                <w:noProof/>
                <w:lang w:val="en-US"/>
              </w:rPr>
              <w:t>4. Results: The Quality Framework</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_Toc243947274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46</w:t>
            </w:r>
            <w:r w:rsidRPr="00AD48E1">
              <w:rPr>
                <w:rFonts w:ascii="Times New Roman" w:hAnsi="Times New Roman"/>
                <w:noProof/>
                <w:webHidden/>
              </w:rPr>
              <w:fldChar w:fldCharType="end"/>
            </w:r>
          </w:hyperlink>
        </w:p>
        <w:p w14:paraId="3010D1E7" w14:textId="2A39D65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5" w:history="1">
            <w:r w:rsidRPr="00AD48E1">
              <w:rPr>
                <w:rStyle w:val="Hyperlink"/>
                <w:rFonts w:ascii="Times New Roman" w:hAnsi="Times New Roman"/>
                <w:noProof/>
                <w:sz w:val="24"/>
                <w:szCs w:val="24"/>
                <w:lang w:val="en-US"/>
              </w:rPr>
              <w:t>4.1 Overview and design rationale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46</w:t>
            </w:r>
            <w:r w:rsidRPr="00AD48E1">
              <w:rPr>
                <w:rFonts w:ascii="Times New Roman" w:hAnsi="Times New Roman"/>
                <w:noProof/>
                <w:webHidden/>
                <w:sz w:val="24"/>
                <w:szCs w:val="24"/>
              </w:rPr>
              <w:fldChar w:fldCharType="end"/>
            </w:r>
          </w:hyperlink>
        </w:p>
        <w:p w14:paraId="10515BD8" w14:textId="552A643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6" w:history="1">
            <w:r w:rsidRPr="00AD48E1">
              <w:rPr>
                <w:rStyle w:val="Hyperlink"/>
                <w:rFonts w:ascii="Times New Roman" w:hAnsi="Times New Roman"/>
                <w:noProof/>
                <w:sz w:val="24"/>
                <w:szCs w:val="24"/>
                <w:lang w:val="en-US"/>
              </w:rPr>
              <w:t>4.2 Pillar 1: Governance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47</w:t>
            </w:r>
            <w:r w:rsidRPr="00AD48E1">
              <w:rPr>
                <w:rFonts w:ascii="Times New Roman" w:hAnsi="Times New Roman"/>
                <w:noProof/>
                <w:webHidden/>
                <w:sz w:val="24"/>
                <w:szCs w:val="24"/>
              </w:rPr>
              <w:fldChar w:fldCharType="end"/>
            </w:r>
          </w:hyperlink>
        </w:p>
        <w:p w14:paraId="1C3D278A" w14:textId="41EA36FE"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7" w:history="1">
            <w:r w:rsidRPr="00AD48E1">
              <w:rPr>
                <w:rStyle w:val="Hyperlink"/>
                <w:rFonts w:ascii="Times New Roman" w:hAnsi="Times New Roman"/>
                <w:noProof/>
                <w:sz w:val="24"/>
                <w:szCs w:val="24"/>
                <w:lang w:val="en-US"/>
              </w:rPr>
              <w:t>4.2.1 The oversight model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48</w:t>
            </w:r>
            <w:r w:rsidRPr="00AD48E1">
              <w:rPr>
                <w:rFonts w:ascii="Times New Roman" w:hAnsi="Times New Roman"/>
                <w:noProof/>
                <w:webHidden/>
                <w:sz w:val="24"/>
                <w:szCs w:val="24"/>
              </w:rPr>
              <w:fldChar w:fldCharType="end"/>
            </w:r>
          </w:hyperlink>
        </w:p>
        <w:p w14:paraId="7122AA34" w14:textId="01B23F5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8" w:history="1">
            <w:r w:rsidRPr="00AD48E1">
              <w:rPr>
                <w:rStyle w:val="Hyperlink"/>
                <w:rFonts w:ascii="Times New Roman" w:hAnsi="Times New Roman"/>
                <w:noProof/>
                <w:sz w:val="24"/>
                <w:szCs w:val="24"/>
                <w:lang w:val="en-US"/>
              </w:rPr>
              <w:t>4.2.2 Delegation, roles, and functions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50</w:t>
            </w:r>
            <w:r w:rsidRPr="00AD48E1">
              <w:rPr>
                <w:rFonts w:ascii="Times New Roman" w:hAnsi="Times New Roman"/>
                <w:noProof/>
                <w:webHidden/>
                <w:sz w:val="24"/>
                <w:szCs w:val="24"/>
              </w:rPr>
              <w:fldChar w:fldCharType="end"/>
            </w:r>
          </w:hyperlink>
        </w:p>
        <w:p w14:paraId="59E87B42" w14:textId="246F49C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9" w:history="1">
            <w:r w:rsidRPr="00AD48E1">
              <w:rPr>
                <w:rStyle w:val="Hyperlink"/>
                <w:rFonts w:ascii="Times New Roman" w:hAnsi="Times New Roman"/>
                <w:noProof/>
                <w:sz w:val="24"/>
                <w:szCs w:val="24"/>
                <w:lang w:val="en-US"/>
              </w:rPr>
              <w:t>4.2.3 Device training documentation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53</w:t>
            </w:r>
            <w:r w:rsidRPr="00AD48E1">
              <w:rPr>
                <w:rFonts w:ascii="Times New Roman" w:hAnsi="Times New Roman"/>
                <w:noProof/>
                <w:webHidden/>
                <w:sz w:val="24"/>
                <w:szCs w:val="24"/>
              </w:rPr>
              <w:fldChar w:fldCharType="end"/>
            </w:r>
          </w:hyperlink>
        </w:p>
        <w:p w14:paraId="46CD823F" w14:textId="03A5E47E"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0" w:history="1">
            <w:r w:rsidRPr="00AD48E1">
              <w:rPr>
                <w:rStyle w:val="Hyperlink"/>
                <w:rFonts w:ascii="Times New Roman" w:hAnsi="Times New Roman"/>
                <w:noProof/>
                <w:sz w:val="24"/>
                <w:szCs w:val="24"/>
                <w:lang w:val="en-US"/>
              </w:rPr>
              <w:t>4.2.4 Surgeon qualification and continued authorization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55</w:t>
            </w:r>
            <w:r w:rsidRPr="00AD48E1">
              <w:rPr>
                <w:rFonts w:ascii="Times New Roman" w:hAnsi="Times New Roman"/>
                <w:noProof/>
                <w:webHidden/>
                <w:sz w:val="24"/>
                <w:szCs w:val="24"/>
              </w:rPr>
              <w:fldChar w:fldCharType="end"/>
            </w:r>
          </w:hyperlink>
        </w:p>
        <w:p w14:paraId="550A7A9C" w14:textId="1A2D17C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81" w:history="1">
            <w:r w:rsidRPr="00AD48E1">
              <w:rPr>
                <w:rStyle w:val="Hyperlink"/>
                <w:rFonts w:ascii="Times New Roman" w:hAnsi="Times New Roman"/>
                <w:noProof/>
                <w:sz w:val="24"/>
                <w:szCs w:val="24"/>
                <w:lang w:val="en-US"/>
              </w:rPr>
              <w:t>4.3 Pillar 2: Risk Management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56</w:t>
            </w:r>
            <w:r w:rsidRPr="00AD48E1">
              <w:rPr>
                <w:rFonts w:ascii="Times New Roman" w:hAnsi="Times New Roman"/>
                <w:noProof/>
                <w:webHidden/>
                <w:sz w:val="24"/>
                <w:szCs w:val="24"/>
              </w:rPr>
              <w:fldChar w:fldCharType="end"/>
            </w:r>
          </w:hyperlink>
        </w:p>
        <w:p w14:paraId="0E0E96B4" w14:textId="7B49DC8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2" w:history="1">
            <w:r w:rsidRPr="00AD48E1">
              <w:rPr>
                <w:rStyle w:val="Hyperlink"/>
                <w:rFonts w:ascii="Times New Roman" w:hAnsi="Times New Roman"/>
                <w:noProof/>
                <w:sz w:val="24"/>
                <w:szCs w:val="24"/>
                <w:lang w:val="en-US"/>
              </w:rPr>
              <w:t>4.3.1 The site risk register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57</w:t>
            </w:r>
            <w:r w:rsidRPr="00AD48E1">
              <w:rPr>
                <w:rFonts w:ascii="Times New Roman" w:hAnsi="Times New Roman"/>
                <w:noProof/>
                <w:webHidden/>
                <w:sz w:val="24"/>
                <w:szCs w:val="24"/>
              </w:rPr>
              <w:fldChar w:fldCharType="end"/>
            </w:r>
          </w:hyperlink>
        </w:p>
        <w:p w14:paraId="60B83DAC" w14:textId="5176164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3" w:history="1">
            <w:r w:rsidRPr="00AD48E1">
              <w:rPr>
                <w:rStyle w:val="Hyperlink"/>
                <w:rFonts w:ascii="Times New Roman" w:hAnsi="Times New Roman"/>
                <w:noProof/>
                <w:sz w:val="24"/>
                <w:szCs w:val="24"/>
                <w:lang w:val="en-US"/>
              </w:rPr>
              <w:t>4.3.2 Operator-dependent risk and the learning curve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58</w:t>
            </w:r>
            <w:r w:rsidRPr="00AD48E1">
              <w:rPr>
                <w:rFonts w:ascii="Times New Roman" w:hAnsi="Times New Roman"/>
                <w:noProof/>
                <w:webHidden/>
                <w:sz w:val="24"/>
                <w:szCs w:val="24"/>
              </w:rPr>
              <w:fldChar w:fldCharType="end"/>
            </w:r>
          </w:hyperlink>
        </w:p>
        <w:p w14:paraId="1722D7DD" w14:textId="5DC3118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4" w:history="1">
            <w:r w:rsidRPr="00AD48E1">
              <w:rPr>
                <w:rStyle w:val="Hyperlink"/>
                <w:rFonts w:ascii="Times New Roman" w:hAnsi="Times New Roman"/>
                <w:noProof/>
                <w:sz w:val="24"/>
                <w:szCs w:val="24"/>
                <w:lang w:val="en-US"/>
              </w:rPr>
              <w:t>4.3.3 Device-specific complication monitoring</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59</w:t>
            </w:r>
            <w:r w:rsidRPr="00AD48E1">
              <w:rPr>
                <w:rFonts w:ascii="Times New Roman" w:hAnsi="Times New Roman"/>
                <w:noProof/>
                <w:webHidden/>
                <w:sz w:val="24"/>
                <w:szCs w:val="24"/>
              </w:rPr>
              <w:fldChar w:fldCharType="end"/>
            </w:r>
          </w:hyperlink>
        </w:p>
        <w:p w14:paraId="2EBFEDBD" w14:textId="11304E3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85" w:history="1">
            <w:r w:rsidRPr="00AD48E1">
              <w:rPr>
                <w:rStyle w:val="Hyperlink"/>
                <w:rFonts w:ascii="Times New Roman" w:hAnsi="Times New Roman"/>
                <w:noProof/>
                <w:sz w:val="24"/>
                <w:szCs w:val="24"/>
                <w:lang w:val="en-US"/>
              </w:rPr>
              <w:t>4.4 Pillar 3: Operational Controls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61</w:t>
            </w:r>
            <w:r w:rsidRPr="00AD48E1">
              <w:rPr>
                <w:rFonts w:ascii="Times New Roman" w:hAnsi="Times New Roman"/>
                <w:noProof/>
                <w:webHidden/>
                <w:sz w:val="24"/>
                <w:szCs w:val="24"/>
              </w:rPr>
              <w:fldChar w:fldCharType="end"/>
            </w:r>
          </w:hyperlink>
        </w:p>
        <w:p w14:paraId="141024D5" w14:textId="76CCDAD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6" w:history="1">
            <w:r w:rsidRPr="00AD48E1">
              <w:rPr>
                <w:rStyle w:val="Hyperlink"/>
                <w:rFonts w:ascii="Times New Roman" w:hAnsi="Times New Roman"/>
                <w:noProof/>
                <w:sz w:val="24"/>
                <w:szCs w:val="24"/>
                <w:lang w:val="en-US"/>
              </w:rPr>
              <w:t>4.4.1 Internal verification of site conduct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62</w:t>
            </w:r>
            <w:r w:rsidRPr="00AD48E1">
              <w:rPr>
                <w:rFonts w:ascii="Times New Roman" w:hAnsi="Times New Roman"/>
                <w:noProof/>
                <w:webHidden/>
                <w:sz w:val="24"/>
                <w:szCs w:val="24"/>
              </w:rPr>
              <w:fldChar w:fldCharType="end"/>
            </w:r>
          </w:hyperlink>
        </w:p>
        <w:p w14:paraId="4A61C98F" w14:textId="6912A3E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7" w:history="1">
            <w:r w:rsidRPr="00AD48E1">
              <w:rPr>
                <w:rStyle w:val="Hyperlink"/>
                <w:rFonts w:ascii="Times New Roman" w:hAnsi="Times New Roman"/>
                <w:noProof/>
                <w:sz w:val="24"/>
                <w:szCs w:val="24"/>
                <w:lang w:val="en-US"/>
              </w:rPr>
              <w:t>4.4.2 Imaging standardization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64</w:t>
            </w:r>
            <w:r w:rsidRPr="00AD48E1">
              <w:rPr>
                <w:rFonts w:ascii="Times New Roman" w:hAnsi="Times New Roman"/>
                <w:noProof/>
                <w:webHidden/>
                <w:sz w:val="24"/>
                <w:szCs w:val="24"/>
              </w:rPr>
              <w:fldChar w:fldCharType="end"/>
            </w:r>
          </w:hyperlink>
        </w:p>
        <w:p w14:paraId="247E460C" w14:textId="0CC53C1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8" w:history="1">
            <w:r w:rsidRPr="00AD48E1">
              <w:rPr>
                <w:rStyle w:val="Hyperlink"/>
                <w:rFonts w:ascii="Times New Roman" w:hAnsi="Times New Roman"/>
                <w:noProof/>
                <w:sz w:val="24"/>
                <w:szCs w:val="24"/>
                <w:lang w:val="en-US"/>
              </w:rPr>
              <w:t>4.4.3 Eligibility and follow-up records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65</w:t>
            </w:r>
            <w:r w:rsidRPr="00AD48E1">
              <w:rPr>
                <w:rFonts w:ascii="Times New Roman" w:hAnsi="Times New Roman"/>
                <w:noProof/>
                <w:webHidden/>
                <w:sz w:val="24"/>
                <w:szCs w:val="24"/>
              </w:rPr>
              <w:fldChar w:fldCharType="end"/>
            </w:r>
          </w:hyperlink>
        </w:p>
        <w:p w14:paraId="1B51FEB2" w14:textId="5780C0B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9" w:history="1">
            <w:r w:rsidRPr="00AD48E1">
              <w:rPr>
                <w:rStyle w:val="Hyperlink"/>
                <w:rFonts w:ascii="Times New Roman" w:hAnsi="Times New Roman"/>
                <w:noProof/>
                <w:sz w:val="24"/>
                <w:szCs w:val="24"/>
                <w:lang w:val="en-US"/>
              </w:rPr>
              <w:t>4.4.4 Source documentation and parallel records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66</w:t>
            </w:r>
            <w:r w:rsidRPr="00AD48E1">
              <w:rPr>
                <w:rFonts w:ascii="Times New Roman" w:hAnsi="Times New Roman"/>
                <w:noProof/>
                <w:webHidden/>
                <w:sz w:val="24"/>
                <w:szCs w:val="24"/>
              </w:rPr>
              <w:fldChar w:fldCharType="end"/>
            </w:r>
          </w:hyperlink>
        </w:p>
        <w:p w14:paraId="33A4BF51" w14:textId="0C199EE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90" w:history="1">
            <w:r w:rsidRPr="00AD48E1">
              <w:rPr>
                <w:rStyle w:val="Hyperlink"/>
                <w:rFonts w:ascii="Times New Roman" w:hAnsi="Times New Roman"/>
                <w:noProof/>
                <w:sz w:val="24"/>
                <w:szCs w:val="24"/>
                <w:lang w:val="en-US"/>
              </w:rPr>
              <w:t>4.5 Pillar 4: Performance Oversight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67</w:t>
            </w:r>
            <w:r w:rsidRPr="00AD48E1">
              <w:rPr>
                <w:rFonts w:ascii="Times New Roman" w:hAnsi="Times New Roman"/>
                <w:noProof/>
                <w:webHidden/>
                <w:sz w:val="24"/>
                <w:szCs w:val="24"/>
              </w:rPr>
              <w:fldChar w:fldCharType="end"/>
            </w:r>
          </w:hyperlink>
        </w:p>
        <w:p w14:paraId="524C594C" w14:textId="6D3B289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1" w:history="1">
            <w:r w:rsidRPr="00AD48E1">
              <w:rPr>
                <w:rStyle w:val="Hyperlink"/>
                <w:rFonts w:ascii="Times New Roman" w:hAnsi="Times New Roman"/>
                <w:noProof/>
                <w:sz w:val="24"/>
                <w:szCs w:val="24"/>
                <w:lang w:val="en-US"/>
              </w:rPr>
              <w:t>4.5.1 Enrollment quality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68</w:t>
            </w:r>
            <w:r w:rsidRPr="00AD48E1">
              <w:rPr>
                <w:rFonts w:ascii="Times New Roman" w:hAnsi="Times New Roman"/>
                <w:noProof/>
                <w:webHidden/>
                <w:sz w:val="24"/>
                <w:szCs w:val="24"/>
              </w:rPr>
              <w:fldChar w:fldCharType="end"/>
            </w:r>
          </w:hyperlink>
        </w:p>
        <w:p w14:paraId="560A8E67" w14:textId="191A9B3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2" w:history="1">
            <w:r w:rsidRPr="00AD48E1">
              <w:rPr>
                <w:rStyle w:val="Hyperlink"/>
                <w:rFonts w:ascii="Times New Roman" w:hAnsi="Times New Roman"/>
                <w:noProof/>
                <w:sz w:val="24"/>
                <w:szCs w:val="24"/>
                <w:lang w:val="en-US"/>
              </w:rPr>
              <w:t>4.5.2 Protocol deviation rate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69</w:t>
            </w:r>
            <w:r w:rsidRPr="00AD48E1">
              <w:rPr>
                <w:rFonts w:ascii="Times New Roman" w:hAnsi="Times New Roman"/>
                <w:noProof/>
                <w:webHidden/>
                <w:sz w:val="24"/>
                <w:szCs w:val="24"/>
              </w:rPr>
              <w:fldChar w:fldCharType="end"/>
            </w:r>
          </w:hyperlink>
        </w:p>
        <w:p w14:paraId="6E05DE6E" w14:textId="3F3475E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3" w:history="1">
            <w:r w:rsidRPr="00AD48E1">
              <w:rPr>
                <w:rStyle w:val="Hyperlink"/>
                <w:rFonts w:ascii="Times New Roman" w:hAnsi="Times New Roman"/>
                <w:noProof/>
                <w:sz w:val="24"/>
                <w:szCs w:val="24"/>
                <w:lang w:val="en-US"/>
              </w:rPr>
              <w:t>4.5.3 Follow-up compliance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70</w:t>
            </w:r>
            <w:r w:rsidRPr="00AD48E1">
              <w:rPr>
                <w:rFonts w:ascii="Times New Roman" w:hAnsi="Times New Roman"/>
                <w:noProof/>
                <w:webHidden/>
                <w:sz w:val="24"/>
                <w:szCs w:val="24"/>
              </w:rPr>
              <w:fldChar w:fldCharType="end"/>
            </w:r>
          </w:hyperlink>
        </w:p>
        <w:p w14:paraId="72331A11" w14:textId="1B4FA3B3"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4" w:history="1">
            <w:r w:rsidRPr="00AD48E1">
              <w:rPr>
                <w:rStyle w:val="Hyperlink"/>
                <w:rFonts w:ascii="Times New Roman" w:hAnsi="Times New Roman"/>
                <w:noProof/>
                <w:sz w:val="24"/>
                <w:szCs w:val="24"/>
                <w:lang w:val="en-US"/>
              </w:rPr>
              <w:t>4.5.4 Safety reporting timeliness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71</w:t>
            </w:r>
            <w:r w:rsidRPr="00AD48E1">
              <w:rPr>
                <w:rFonts w:ascii="Times New Roman" w:hAnsi="Times New Roman"/>
                <w:noProof/>
                <w:webHidden/>
                <w:sz w:val="24"/>
                <w:szCs w:val="24"/>
              </w:rPr>
              <w:fldChar w:fldCharType="end"/>
            </w:r>
          </w:hyperlink>
        </w:p>
        <w:p w14:paraId="2D7C04F9" w14:textId="347F3E8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5" w:history="1">
            <w:r w:rsidRPr="00AD48E1">
              <w:rPr>
                <w:rStyle w:val="Hyperlink"/>
                <w:rFonts w:ascii="Times New Roman" w:hAnsi="Times New Roman"/>
                <w:noProof/>
                <w:sz w:val="24"/>
                <w:szCs w:val="24"/>
                <w:lang w:val="en-US"/>
              </w:rPr>
              <w:t>4.5.5 Surgeon procedural consistency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72</w:t>
            </w:r>
            <w:r w:rsidRPr="00AD48E1">
              <w:rPr>
                <w:rFonts w:ascii="Times New Roman" w:hAnsi="Times New Roman"/>
                <w:noProof/>
                <w:webHidden/>
                <w:sz w:val="24"/>
                <w:szCs w:val="24"/>
              </w:rPr>
              <w:fldChar w:fldCharType="end"/>
            </w:r>
          </w:hyperlink>
        </w:p>
        <w:p w14:paraId="09D7959C" w14:textId="3FEE73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6" w:history="1">
            <w:r w:rsidRPr="00AD48E1">
              <w:rPr>
                <w:rStyle w:val="Hyperlink"/>
                <w:rFonts w:ascii="Times New Roman" w:hAnsi="Times New Roman"/>
                <w:noProof/>
                <w:sz w:val="24"/>
                <w:szCs w:val="24"/>
                <w:lang w:val="en-US"/>
              </w:rPr>
              <w:t>4.5.6 Critical data completeness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73</w:t>
            </w:r>
            <w:r w:rsidRPr="00AD48E1">
              <w:rPr>
                <w:rFonts w:ascii="Times New Roman" w:hAnsi="Times New Roman"/>
                <w:noProof/>
                <w:webHidden/>
                <w:sz w:val="24"/>
                <w:szCs w:val="24"/>
              </w:rPr>
              <w:fldChar w:fldCharType="end"/>
            </w:r>
          </w:hyperlink>
        </w:p>
        <w:p w14:paraId="2E932A49" w14:textId="72042E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7" w:history="1">
            <w:r w:rsidRPr="00AD48E1">
              <w:rPr>
                <w:rStyle w:val="Hyperlink"/>
                <w:rFonts w:ascii="Times New Roman" w:hAnsi="Times New Roman"/>
                <w:noProof/>
                <w:sz w:val="24"/>
                <w:szCs w:val="24"/>
                <w:lang w:val="en-US"/>
              </w:rPr>
              <w:t>4.5.7 Closing the loop through corrective and preventive action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73</w:t>
            </w:r>
            <w:r w:rsidRPr="00AD48E1">
              <w:rPr>
                <w:rFonts w:ascii="Times New Roman" w:hAnsi="Times New Roman"/>
                <w:noProof/>
                <w:webHidden/>
                <w:sz w:val="24"/>
                <w:szCs w:val="24"/>
              </w:rPr>
              <w:fldChar w:fldCharType="end"/>
            </w:r>
          </w:hyperlink>
        </w:p>
        <w:p w14:paraId="5EC9F73A" w14:textId="5A0289D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98" w:history="1">
            <w:r w:rsidRPr="00AD48E1">
              <w:rPr>
                <w:rStyle w:val="Hyperlink"/>
                <w:rFonts w:ascii="Times New Roman" w:hAnsi="Times New Roman"/>
                <w:noProof/>
                <w:sz w:val="24"/>
                <w:szCs w:val="24"/>
                <w:lang w:val="en-US"/>
              </w:rPr>
              <w:t>4.6 The quality lifecycle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74</w:t>
            </w:r>
            <w:r w:rsidRPr="00AD48E1">
              <w:rPr>
                <w:rFonts w:ascii="Times New Roman" w:hAnsi="Times New Roman"/>
                <w:noProof/>
                <w:webHidden/>
                <w:sz w:val="24"/>
                <w:szCs w:val="24"/>
              </w:rPr>
              <w:fldChar w:fldCharType="end"/>
            </w:r>
          </w:hyperlink>
        </w:p>
        <w:p w14:paraId="051E5B91" w14:textId="735D2CD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9" w:history="1">
            <w:r w:rsidRPr="00AD48E1">
              <w:rPr>
                <w:rStyle w:val="Hyperlink"/>
                <w:rFonts w:ascii="Times New Roman" w:hAnsi="Times New Roman"/>
                <w:noProof/>
                <w:sz w:val="24"/>
                <w:szCs w:val="24"/>
                <w:lang w:val="en-US"/>
              </w:rPr>
              <w:t>4.6.1 Structure and phases of the lifecycle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75</w:t>
            </w:r>
            <w:r w:rsidRPr="00AD48E1">
              <w:rPr>
                <w:rFonts w:ascii="Times New Roman" w:hAnsi="Times New Roman"/>
                <w:noProof/>
                <w:webHidden/>
                <w:sz w:val="24"/>
                <w:szCs w:val="24"/>
              </w:rPr>
              <w:fldChar w:fldCharType="end"/>
            </w:r>
          </w:hyperlink>
        </w:p>
        <w:p w14:paraId="78AB87F0" w14:textId="63C9DD3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300" w:history="1">
            <w:r w:rsidRPr="00AD48E1">
              <w:rPr>
                <w:rStyle w:val="Hyperlink"/>
                <w:rFonts w:ascii="Times New Roman" w:hAnsi="Times New Roman"/>
                <w:noProof/>
                <w:sz w:val="24"/>
                <w:szCs w:val="24"/>
                <w:lang w:val="en-US"/>
              </w:rPr>
              <w:t>4.6.2 Why the sequence matters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77</w:t>
            </w:r>
            <w:r w:rsidRPr="00AD48E1">
              <w:rPr>
                <w:rFonts w:ascii="Times New Roman" w:hAnsi="Times New Roman"/>
                <w:noProof/>
                <w:webHidden/>
                <w:sz w:val="24"/>
                <w:szCs w:val="24"/>
              </w:rPr>
              <w:fldChar w:fldCharType="end"/>
            </w:r>
          </w:hyperlink>
        </w:p>
        <w:p w14:paraId="678B0037" w14:textId="7CCFA0D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1" w:history="1">
            <w:r w:rsidRPr="00AD48E1">
              <w:rPr>
                <w:rStyle w:val="Hyperlink"/>
                <w:rFonts w:ascii="Times New Roman" w:hAnsi="Times New Roman"/>
                <w:noProof/>
                <w:sz w:val="24"/>
                <w:szCs w:val="24"/>
                <w:lang w:val="en-US"/>
              </w:rPr>
              <w:t>4.7 The scalability model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79</w:t>
            </w:r>
            <w:r w:rsidRPr="00AD48E1">
              <w:rPr>
                <w:rFonts w:ascii="Times New Roman" w:hAnsi="Times New Roman"/>
                <w:noProof/>
                <w:webHidden/>
                <w:sz w:val="24"/>
                <w:szCs w:val="24"/>
              </w:rPr>
              <w:fldChar w:fldCharType="end"/>
            </w:r>
          </w:hyperlink>
        </w:p>
        <w:p w14:paraId="350F18A4" w14:textId="6CF871C4"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5" w:history="1">
            <w:r w:rsidRPr="00AD48E1">
              <w:rPr>
                <w:rStyle w:val="Hyperlink"/>
                <w:rFonts w:ascii="Times New Roman" w:hAnsi="Times New Roman"/>
                <w:noProof/>
                <w:sz w:val="24"/>
                <w:szCs w:val="24"/>
                <w:lang w:val="en-US"/>
              </w:rPr>
              <w:t>4.8 The operational instrument set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83</w:t>
            </w:r>
            <w:r w:rsidRPr="00AD48E1">
              <w:rPr>
                <w:rFonts w:ascii="Times New Roman" w:hAnsi="Times New Roman"/>
                <w:noProof/>
                <w:webHidden/>
                <w:sz w:val="24"/>
                <w:szCs w:val="24"/>
              </w:rPr>
              <w:fldChar w:fldCharType="end"/>
            </w:r>
          </w:hyperlink>
        </w:p>
        <w:p w14:paraId="1F3112C3" w14:textId="081C5CF4"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06" w:history="1">
            <w:r w:rsidRPr="00AD48E1">
              <w:rPr>
                <w:rStyle w:val="Hyperlink"/>
                <w:rFonts w:ascii="Times New Roman" w:hAnsi="Times New Roman"/>
                <w:noProof/>
                <w:lang w:val="en-US"/>
              </w:rPr>
              <w:t>5. Discussion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_Toc243947306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87</w:t>
            </w:r>
            <w:r w:rsidRPr="00AD48E1">
              <w:rPr>
                <w:rFonts w:ascii="Times New Roman" w:hAnsi="Times New Roman"/>
                <w:noProof/>
                <w:webHidden/>
              </w:rPr>
              <w:fldChar w:fldCharType="end"/>
            </w:r>
          </w:hyperlink>
        </w:p>
        <w:p w14:paraId="38A98BBF" w14:textId="3D78E97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7" w:history="1">
            <w:r w:rsidRPr="00AD48E1">
              <w:rPr>
                <w:rStyle w:val="Hyperlink"/>
                <w:rFonts w:ascii="Times New Roman" w:hAnsi="Times New Roman"/>
                <w:noProof/>
                <w:sz w:val="24"/>
                <w:szCs w:val="24"/>
                <w:lang w:val="en-US"/>
              </w:rPr>
              <w:t>5.1 The principal contribution and the regulatory gap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87</w:t>
            </w:r>
            <w:r w:rsidRPr="00AD48E1">
              <w:rPr>
                <w:rFonts w:ascii="Times New Roman" w:hAnsi="Times New Roman"/>
                <w:noProof/>
                <w:webHidden/>
                <w:sz w:val="24"/>
                <w:szCs w:val="24"/>
              </w:rPr>
              <w:fldChar w:fldCharType="end"/>
            </w:r>
          </w:hyperlink>
        </w:p>
        <w:p w14:paraId="5B62EE1C" w14:textId="0CAE7E3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8" w:history="1">
            <w:r w:rsidRPr="00AD48E1">
              <w:rPr>
                <w:rStyle w:val="Hyperlink"/>
                <w:rFonts w:ascii="Times New Roman" w:hAnsi="Times New Roman"/>
                <w:noProof/>
                <w:sz w:val="24"/>
                <w:szCs w:val="24"/>
                <w:lang w:val="en-US"/>
              </w:rPr>
              <w:t>5.2 Position in the literature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90</w:t>
            </w:r>
            <w:r w:rsidRPr="00AD48E1">
              <w:rPr>
                <w:rFonts w:ascii="Times New Roman" w:hAnsi="Times New Roman"/>
                <w:noProof/>
                <w:webHidden/>
                <w:sz w:val="24"/>
                <w:szCs w:val="24"/>
              </w:rPr>
              <w:fldChar w:fldCharType="end"/>
            </w:r>
          </w:hyperlink>
        </w:p>
        <w:p w14:paraId="7D558C33" w14:textId="4057003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9" w:history="1">
            <w:r w:rsidRPr="00AD48E1">
              <w:rPr>
                <w:rStyle w:val="Hyperlink"/>
                <w:rFonts w:ascii="Times New Roman" w:hAnsi="Times New Roman"/>
                <w:noProof/>
                <w:sz w:val="24"/>
                <w:szCs w:val="24"/>
                <w:lang w:val="en-US"/>
              </w:rPr>
              <w:t>5.3 Design implications of the surgical and site context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93</w:t>
            </w:r>
            <w:r w:rsidRPr="00AD48E1">
              <w:rPr>
                <w:rFonts w:ascii="Times New Roman" w:hAnsi="Times New Roman"/>
                <w:noProof/>
                <w:webHidden/>
                <w:sz w:val="24"/>
                <w:szCs w:val="24"/>
              </w:rPr>
              <w:fldChar w:fldCharType="end"/>
            </w:r>
          </w:hyperlink>
        </w:p>
        <w:p w14:paraId="55F06D2C" w14:textId="6E3C462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0" w:history="1">
            <w:r w:rsidRPr="00AD48E1">
              <w:rPr>
                <w:rStyle w:val="Hyperlink"/>
                <w:rFonts w:ascii="Times New Roman" w:hAnsi="Times New Roman"/>
                <w:noProof/>
                <w:sz w:val="24"/>
                <w:szCs w:val="24"/>
                <w:lang w:val="en-US"/>
              </w:rPr>
              <w:t>5.4 Expected mechanisms and operational interfaces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96</w:t>
            </w:r>
            <w:r w:rsidRPr="00AD48E1">
              <w:rPr>
                <w:rFonts w:ascii="Times New Roman" w:hAnsi="Times New Roman"/>
                <w:noProof/>
                <w:webHidden/>
                <w:sz w:val="24"/>
                <w:szCs w:val="24"/>
              </w:rPr>
              <w:fldChar w:fldCharType="end"/>
            </w:r>
          </w:hyperlink>
        </w:p>
        <w:p w14:paraId="0399195D" w14:textId="1C20068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1" w:history="1">
            <w:r w:rsidRPr="00AD48E1">
              <w:rPr>
                <w:rStyle w:val="Hyperlink"/>
                <w:rFonts w:ascii="Times New Roman" w:hAnsi="Times New Roman"/>
                <w:noProof/>
                <w:sz w:val="24"/>
                <w:szCs w:val="24"/>
                <w:lang w:val="en-US"/>
              </w:rPr>
              <w:t>5.5 Practical, ethical, and regulatory implications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100</w:t>
            </w:r>
            <w:r w:rsidRPr="00AD48E1">
              <w:rPr>
                <w:rFonts w:ascii="Times New Roman" w:hAnsi="Times New Roman"/>
                <w:noProof/>
                <w:webHidden/>
                <w:sz w:val="24"/>
                <w:szCs w:val="24"/>
              </w:rPr>
              <w:fldChar w:fldCharType="end"/>
            </w:r>
          </w:hyperlink>
        </w:p>
        <w:p w14:paraId="236EB93D" w14:textId="094676C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2" w:history="1">
            <w:r w:rsidRPr="00AD48E1">
              <w:rPr>
                <w:rStyle w:val="Hyperlink"/>
                <w:rFonts w:ascii="Times New Roman" w:hAnsi="Times New Roman"/>
                <w:noProof/>
                <w:sz w:val="24"/>
                <w:szCs w:val="24"/>
                <w:lang w:val="en-US"/>
              </w:rPr>
              <w:t>5.6 Transferability and boundary conditions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103</w:t>
            </w:r>
            <w:r w:rsidRPr="00AD48E1">
              <w:rPr>
                <w:rFonts w:ascii="Times New Roman" w:hAnsi="Times New Roman"/>
                <w:noProof/>
                <w:webHidden/>
                <w:sz w:val="24"/>
                <w:szCs w:val="24"/>
              </w:rPr>
              <w:fldChar w:fldCharType="end"/>
            </w:r>
          </w:hyperlink>
        </w:p>
        <w:p w14:paraId="69C51254" w14:textId="40ABFF15"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3" w:history="1">
            <w:r w:rsidRPr="00AD48E1">
              <w:rPr>
                <w:rStyle w:val="Hyperlink"/>
                <w:rFonts w:ascii="Times New Roman" w:hAnsi="Times New Roman"/>
                <w:noProof/>
                <w:sz w:val="24"/>
                <w:szCs w:val="24"/>
                <w:lang w:val="en-US"/>
              </w:rPr>
              <w:t>5.7 Limitations and validation priorities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104</w:t>
            </w:r>
            <w:r w:rsidRPr="00AD48E1">
              <w:rPr>
                <w:rFonts w:ascii="Times New Roman" w:hAnsi="Times New Roman"/>
                <w:noProof/>
                <w:webHidden/>
                <w:sz w:val="24"/>
                <w:szCs w:val="24"/>
              </w:rPr>
              <w:fldChar w:fldCharType="end"/>
            </w:r>
          </w:hyperlink>
        </w:p>
        <w:p w14:paraId="485D110F" w14:textId="533365F9"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4" w:history="1">
            <w:r w:rsidRPr="00AD48E1">
              <w:rPr>
                <w:rStyle w:val="Hyperlink"/>
                <w:rFonts w:ascii="Times New Roman" w:hAnsi="Times New Roman"/>
                <w:noProof/>
                <w:lang w:val="en-US"/>
              </w:rPr>
              <w:t>6. Conclusion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107</w:t>
            </w:r>
            <w:r w:rsidRPr="00AD48E1">
              <w:rPr>
                <w:rFonts w:ascii="Times New Roman" w:hAnsi="Times New Roman"/>
                <w:noProof/>
                <w:webHidden/>
              </w:rPr>
              <w:fldChar w:fldCharType="end"/>
            </w:r>
          </w:hyperlink>
        </w:p>
        <w:p w14:paraId="35643F8C" w14:textId="0DFA49FA"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5" w:history="1">
            <w:r w:rsidRPr="00AD48E1">
              <w:rPr>
                <w:rStyle w:val="Hyperlink"/>
                <w:rFonts w:ascii="Times New Roman" w:hAnsi="Times New Roman"/>
                <w:noProof/>
                <w:lang w:val="en-US"/>
              </w:rPr>
              <w:t>References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_Toc243947315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109</w:t>
            </w:r>
            <w:r w:rsidRPr="00AD48E1">
              <w:rPr>
                <w:rFonts w:ascii="Times New Roman" w:hAnsi="Times New Roman"/>
                <w:noProof/>
                <w:webHidden/>
              </w:rPr>
              <w:fldChar w:fldCharType="end"/>
            </w:r>
          </w:hyperlink>
        </w:p>
        <w:p w14:paraId="61E6A231" w14:textId="25521B2A"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6" w:history="1">
            <w:r w:rsidRPr="00AD48E1">
              <w:rPr>
                <w:rStyle w:val="Hyperlink"/>
                <w:rFonts w:ascii="Times New Roman" w:hAnsi="Times New Roman"/>
                <w:noProof/>
              </w:rPr>
              <w:t>Appendices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_Toc243947316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117</w:t>
            </w:r>
            <w:r w:rsidRPr="00AD48E1">
              <w:rPr>
                <w:rFonts w:ascii="Times New Roman" w:hAnsi="Times New Roman"/>
                <w:noProof/>
                <w:webHidden/>
              </w:rPr>
              <w:fldChar w:fldCharType="end"/>
            </w:r>
          </w:hyperlink>
        </w:p>
        <w:p w14:paraId="67E924D0" w14:textId="57064A7B"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7" w:history="1">
            <w:r w:rsidRPr="00AD48E1">
              <w:rPr>
                <w:rStyle w:val="Hyperlink"/>
                <w:rFonts w:ascii="Times New Roman" w:hAnsi="Times New Roman"/>
                <w:noProof/>
                <w:sz w:val="24"/>
                <w:szCs w:val="24"/>
              </w:rPr>
              <w:t>Appendix A</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763638CB" w14:textId="48F3E60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8" w:history="1">
            <w:r w:rsidRPr="00AD48E1">
              <w:rPr>
                <w:rStyle w:val="Hyperlink"/>
                <w:rFonts w:ascii="Times New Roman" w:hAnsi="Times New Roman"/>
                <w:noProof/>
                <w:sz w:val="24"/>
                <w:szCs w:val="24"/>
              </w:rPr>
              <w:t>Appendix B</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192DBFE8" w14:textId="6C2A63D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9" w:history="1">
            <w:r w:rsidRPr="00AD48E1">
              <w:rPr>
                <w:rStyle w:val="Hyperlink"/>
                <w:rFonts w:ascii="Times New Roman" w:hAnsi="Times New Roman"/>
                <w:noProof/>
                <w:sz w:val="24"/>
                <w:szCs w:val="24"/>
              </w:rPr>
              <w:t>Appendix C</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0B27DA03" w14:textId="68966F7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0" w:history="1">
            <w:r w:rsidRPr="00AD48E1">
              <w:rPr>
                <w:rStyle w:val="Hyperlink"/>
                <w:rFonts w:ascii="Times New Roman" w:hAnsi="Times New Roman"/>
                <w:noProof/>
                <w:sz w:val="24"/>
                <w:szCs w:val="24"/>
              </w:rPr>
              <w:t>Appendix D</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12E35772" w14:textId="6CA796E7"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1" w:history="1">
            <w:r w:rsidRPr="00AD48E1">
              <w:rPr>
                <w:rStyle w:val="Hyperlink"/>
                <w:rFonts w:ascii="Times New Roman" w:hAnsi="Times New Roman"/>
                <w:noProof/>
                <w:sz w:val="24"/>
                <w:szCs w:val="24"/>
              </w:rPr>
              <w:t>Appendix 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369E664A" w14:textId="7DA0BFF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2" w:history="1">
            <w:r w:rsidRPr="00AD48E1">
              <w:rPr>
                <w:rStyle w:val="Hyperlink"/>
                <w:rFonts w:ascii="Times New Roman" w:hAnsi="Times New Roman"/>
                <w:noProof/>
                <w:sz w:val="24"/>
                <w:szCs w:val="24"/>
              </w:rPr>
              <w:t>Appendix F</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75C6EF5C" w14:textId="46DF1C9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3" w:history="1">
            <w:r w:rsidRPr="00AD48E1">
              <w:rPr>
                <w:rStyle w:val="Hyperlink"/>
                <w:rFonts w:ascii="Times New Roman" w:hAnsi="Times New Roman"/>
                <w:noProof/>
                <w:sz w:val="24"/>
                <w:szCs w:val="24"/>
              </w:rPr>
              <w:t>Appendix G</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6BD98B63" w14:textId="2B98C820"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4" w:history="1">
            <w:r w:rsidRPr="00AD48E1">
              <w:rPr>
                <w:rStyle w:val="Hyperlink"/>
                <w:rFonts w:ascii="Times New Roman" w:hAnsi="Times New Roman"/>
                <w:noProof/>
                <w:sz w:val="24"/>
                <w:szCs w:val="24"/>
              </w:rPr>
              <w:t>Appendix 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3C5559F" w14:textId="4B80787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5" w:history="1">
            <w:r w:rsidRPr="00AD48E1">
              <w:rPr>
                <w:rStyle w:val="Hyperlink"/>
                <w:rFonts w:ascii="Times New Roman" w:hAnsi="Times New Roman"/>
                <w:noProof/>
                <w:sz w:val="24"/>
                <w:szCs w:val="24"/>
              </w:rPr>
              <w:t>Appendix I</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4726398" w14:textId="396F306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6" w:history="1">
            <w:r w:rsidRPr="00AD48E1">
              <w:rPr>
                <w:rStyle w:val="Hyperlink"/>
                <w:rFonts w:ascii="Times New Roman" w:hAnsi="Times New Roman"/>
                <w:noProof/>
                <w:sz w:val="24"/>
                <w:szCs w:val="24"/>
              </w:rPr>
              <w:t>Appendix J</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036385DB" w14:textId="209D67F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7" w:history="1">
            <w:r w:rsidRPr="00AD48E1">
              <w:rPr>
                <w:rStyle w:val="Hyperlink"/>
                <w:rFonts w:ascii="Times New Roman" w:hAnsi="Times New Roman"/>
                <w:noProof/>
                <w:sz w:val="24"/>
                <w:szCs w:val="24"/>
              </w:rPr>
              <w:t>Appendix K</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C12C88D" w14:textId="7525E9C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8" w:history="1">
            <w:r w:rsidRPr="00AD48E1">
              <w:rPr>
                <w:rStyle w:val="Hyperlink"/>
                <w:rFonts w:ascii="Times New Roman" w:hAnsi="Times New Roman"/>
                <w:noProof/>
                <w:sz w:val="24"/>
                <w:szCs w:val="24"/>
              </w:rPr>
              <w:t>Appendix 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7A48039" w14:textId="1EB80D8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9" w:history="1">
            <w:r w:rsidRPr="00AD48E1">
              <w:rPr>
                <w:rStyle w:val="Hyperlink"/>
                <w:rFonts w:ascii="Times New Roman" w:hAnsi="Times New Roman"/>
                <w:noProof/>
                <w:sz w:val="24"/>
                <w:szCs w:val="24"/>
              </w:rPr>
              <w:t>Appendix M</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CD7CAA0" w14:textId="138AFA2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0" w:history="1">
            <w:r w:rsidRPr="00AD48E1">
              <w:rPr>
                <w:rStyle w:val="Hyperlink"/>
                <w:rFonts w:ascii="Times New Roman" w:hAnsi="Times New Roman"/>
                <w:noProof/>
                <w:sz w:val="24"/>
                <w:szCs w:val="24"/>
              </w:rPr>
              <w:t>Appendix 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D850D48" w14:textId="3A9637E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1" w:history="1">
            <w:r w:rsidRPr="00AD48E1">
              <w:rPr>
                <w:rStyle w:val="Hyperlink"/>
                <w:rFonts w:ascii="Times New Roman" w:hAnsi="Times New Roman"/>
                <w:noProof/>
                <w:sz w:val="24"/>
                <w:szCs w:val="24"/>
              </w:rPr>
              <w:t>Appendix O</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45B3CA1" w14:textId="1A9B0FA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2" w:history="1">
            <w:r w:rsidRPr="00AD48E1">
              <w:rPr>
                <w:rStyle w:val="Hyperlink"/>
                <w:rFonts w:ascii="Times New Roman" w:hAnsi="Times New Roman"/>
                <w:noProof/>
                <w:sz w:val="24"/>
                <w:szCs w:val="24"/>
              </w:rPr>
              <w:t>Appendix 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0B31AC2E" w14:textId="2FBC2342"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3" w:history="1">
            <w:r w:rsidRPr="00AD48E1">
              <w:rPr>
                <w:rStyle w:val="Hyperlink"/>
                <w:rFonts w:ascii="Times New Roman" w:hAnsi="Times New Roman"/>
                <w:noProof/>
                <w:sz w:val="24"/>
                <w:szCs w:val="24"/>
              </w:rPr>
              <w:t>Appendix Q</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0BA72353" w14:textId="4CBB4DC0"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4" w:history="1">
            <w:r w:rsidRPr="00AD48E1">
              <w:rPr>
                <w:rStyle w:val="Hyperlink"/>
                <w:rFonts w:ascii="Times New Roman" w:hAnsi="Times New Roman"/>
                <w:noProof/>
                <w:sz w:val="24"/>
                <w:szCs w:val="24"/>
              </w:rPr>
              <w:t>Appendix 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2602ECFD" w14:textId="1EEA5FDE"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5" w:history="1">
            <w:r w:rsidRPr="00AD48E1">
              <w:rPr>
                <w:rStyle w:val="Hyperlink"/>
                <w:rFonts w:ascii="Times New Roman" w:hAnsi="Times New Roman"/>
                <w:noProof/>
                <w:sz w:val="24"/>
                <w:szCs w:val="24"/>
              </w:rPr>
              <w:t>Appendix 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594A6479" w14:textId="00D57D1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6" w:history="1">
            <w:r w:rsidRPr="00AD48E1">
              <w:rPr>
                <w:rStyle w:val="Hyperlink"/>
                <w:rFonts w:ascii="Times New Roman" w:hAnsi="Times New Roman"/>
                <w:noProof/>
                <w:sz w:val="24"/>
                <w:szCs w:val="24"/>
              </w:rPr>
              <w:t>Appendix 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15FD6980" w14:textId="67AAFD3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7" w:history="1">
            <w:r w:rsidRPr="00AD48E1">
              <w:rPr>
                <w:rStyle w:val="Hyperlink"/>
                <w:rFonts w:ascii="Times New Roman" w:hAnsi="Times New Roman"/>
                <w:noProof/>
                <w:sz w:val="24"/>
                <w:szCs w:val="24"/>
              </w:rPr>
              <w:t>Appendix U</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35C50A6C" w14:textId="177C12AB"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8" w:history="1">
            <w:r w:rsidRPr="00AD48E1">
              <w:rPr>
                <w:rStyle w:val="Hyperlink"/>
                <w:rFonts w:ascii="Times New Roman" w:hAnsi="Times New Roman"/>
                <w:noProof/>
                <w:sz w:val="24"/>
                <w:szCs w:val="24"/>
              </w:rPr>
              <w:t>Appendix V</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632DB08B" w14:textId="2394000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9" w:history="1">
            <w:r w:rsidRPr="00AD48E1">
              <w:rPr>
                <w:rStyle w:val="Hyperlink"/>
                <w:rFonts w:ascii="Times New Roman" w:hAnsi="Times New Roman"/>
                <w:noProof/>
                <w:sz w:val="24"/>
                <w:szCs w:val="24"/>
              </w:rPr>
              <w:t>Appendix W</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6ADAA022" w14:textId="3B9586A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40" w:history="1">
            <w:r w:rsidRPr="00AD48E1">
              <w:rPr>
                <w:rStyle w:val="Hyperlink"/>
                <w:rFonts w:ascii="Times New Roman" w:hAnsi="Times New Roman"/>
                <w:noProof/>
                <w:sz w:val="24"/>
                <w:szCs w:val="24"/>
              </w:rPr>
              <w:t>Appendix X</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_Toc243947340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rPr>
          <w:lang w:val="en-US"/>
        </w:rPr>
      </w:pPr>
      <w:bookmarkStart w:id="31" w:name="_8vu5fuslxr9j" w:colFirst="0" w:colLast="0"/>
      <w:bookmarkStart w:id="32" w:name="_Toc241922287"/>
      <w:bookmarkStart w:id="33" w:name="_Toc243947235"/>
      <w:bookmarkEnd w:id="31"/>
      <w:r>
        <w:rPr>
          <w:lang w:val="en-US"/>
        </w:rPr>
        <w:t>1. Introduction</w:t>
      </w:r>
      <w:bookmarkEnd w:id="32"/>
      <w:bookmarkEnd w:id="33"/>
    </w:p>
    <w:p w14:paraId="568AC0DA" w14:textId="77777777" w:rsidR="005B6E92" w:rsidRPr="00933DA5" w:rsidRDefault="00363464">
      <w:pPr>
        <w:pStyle w:val="Ttulo2"/>
        <w:rPr>
          <w:lang w:val="en-US"/>
        </w:rPr>
      </w:pPr>
      <w:bookmarkStart w:id="34" w:name="_unsx5y6gf9z6" w:colFirst="0" w:colLast="0"/>
      <w:bookmarkStart w:id="35" w:name="_Toc241922288"/>
      <w:bookmarkStart w:id="36" w:name="_Toc243947236"/>
      <w:bookmarkEnd w:id="34"/>
      <w:r>
        <w:rPr>
          <w:lang w:val="en-US"/>
        </w:rPr>
        <w:t>1.1 Historical Overview and Recent Updates</w:t>
      </w:r>
      <w:bookmarkEnd w:id="35"/>
      <w:bookmarkEnd w:id="36"/>
    </w:p>
    <w:p w14:paraId="24154257" w14:textId="333DECBB" w:rsidR="005B6E92" w:rsidRPr="00933DA5" w:rsidRDefault="00363464">
      <w:pPr>
        <w:rPr>
          <w:lang w:val="en-US"/>
        </w:rPr>
      </w:pPr>
      <w:r>
        <w:rPr>
          <w:lang w:val="en-US"/>
        </w:rPr>
        <w:t xml:space="preserve">Over the past decade, quality management in clinical research has changed </w:t>
      </w:r>
      <w:r>
        <w:rPr>
          <w:sz w:val="18"/>
          <w:szCs w:val="18"/>
          <w:vertAlign w:val="subscript"/>
          <w:lang w:val="en-US"/>
        </w:rPr>
        <w:t>[1, 2]</w:t>
      </w:r>
      <w:r>
        <w:rPr>
          <w:lang w:val="en-US"/>
        </w:rPr>
        <w:t xml:space="preserve">. The older model was mainly reactive. </w:t>
      </w:r>
      <w:r>
        <w:rPr>
          <w:lang w:val="en-US"/>
        </w:rPr>
        <w:t>This means that sites and sponsors would find problems during monitoring visits and audits, and then correct them case by case.</w:t>
      </w:r>
      <w:r>
        <w:rPr>
          <w:lang w:val="en-US"/>
        </w:rPr>
        <w:t xml:space="preserv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t xml:space="preserve">Current guidance states that quality should be considered before a study begins, built into operational decisions during conduct, and managed across the study lifecycle </w:t>
      </w:r>
      <w:r>
        <w:rPr>
          <w:sz w:val="18"/>
          <w:szCs w:val="18"/>
          <w:vertAlign w:val="subscript"/>
          <w:lang w:val="en-US"/>
        </w:rPr>
        <w:t>[3, 4]</w:t>
      </w:r>
      <w:r>
        <w:rPr>
          <w:lang w:val="en-US"/>
        </w:rPr>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Pr>
          <w:sz w:val="18"/>
          <w:szCs w:val="18"/>
          <w:vertAlign w:val="subscript"/>
          <w:lang w:val="en-US"/>
        </w:rPr>
        <w:t>[3]</w:t>
      </w:r>
      <w:r>
        <w:rPr>
          <w:lang w:val="en-US"/>
        </w:rPr>
        <w:t>.</w:t>
      </w:r>
    </w:p>
    <w:p w14:paraId="0B4F81E1" w14:textId="6D22BEBF" w:rsidR="005B6E92" w:rsidRPr="00933DA5" w:rsidRDefault="00626A50">
      <w:pPr>
        <w:rPr>
          <w:lang w:val="en-US"/>
        </w:rPr>
      </w:pPr>
      <w:r>
        <w:rPr>
          <w:lang w:val="en-US"/>
        </w:rP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 </w:t>
      </w:r>
      <w:r>
        <w:rPr>
          <w:sz w:val="18"/>
          <w:szCs w:val="18"/>
          <w:vertAlign w:val="subscript"/>
          <w:lang w:val="en-US"/>
        </w:rPr>
        <w:t>[5]</w:t>
      </w:r>
      <w:r>
        <w:rPr>
          <w:lang w:val="en-US"/>
        </w:rPr>
        <w:t>.</w:t>
      </w:r>
    </w:p>
    <w:p w14:paraId="0436557B" w14:textId="07ACE1EE" w:rsidR="005B6E92" w:rsidRPr="00933DA5" w:rsidRDefault="00363464">
      <w:pPr>
        <w:rPr>
          <w:lang w:val="en-US"/>
        </w:rPr>
      </w:pPr>
      <w:r>
        <w:rPr>
          <w:lang w:val="en-US"/>
        </w:rPr>
        <w:t xml:space="preserve">ICH E6(R3), the latest update, was released on 6 January 2025 and reinforced the direction established by ICH E8(R1). It gave greater weight to QbD, CtQ factors, risk-proportionate oversight, and quality management across the trial lifecycle </w:t>
      </w:r>
      <w:r>
        <w:rPr>
          <w:sz w:val="18"/>
          <w:szCs w:val="18"/>
          <w:vertAlign w:val="subscript"/>
          <w:lang w:val="en-US"/>
        </w:rPr>
        <w:t>[6]</w:t>
      </w:r>
      <w:r>
        <w:rPr>
          <w:lang w:val="en-US"/>
        </w:rPr>
        <w:t xml:space="preserve">. It also states that the investigator should have the staff and facilities the trial needs and should oversee delegated activities in proportion to the importance of the data and the risks involved </w:t>
      </w:r>
      <w:r>
        <w:rPr>
          <w:sz w:val="18"/>
          <w:szCs w:val="18"/>
          <w:vertAlign w:val="subscript"/>
          <w:lang w:val="en-US"/>
        </w:rPr>
        <w:t>[6]</w:t>
      </w:r>
      <w:r>
        <w:rPr>
          <w:lang w:val="en-US"/>
        </w:rPr>
        <w:t>.</w:t>
      </w:r>
    </w:p>
    <w:p w14:paraId="7D722C79" w14:textId="77777777" w:rsidR="00292BAB" w:rsidRDefault="00363464">
      <w:r>
        <w:rPr>
          <w:lang w:val="en-US"/>
        </w:rPr>
        <w:t xml:space="preserve">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 </w:t>
      </w:r>
      <w:r>
        <w:rPr>
          <w:sz w:val="18"/>
          <w:szCs w:val="18"/>
          <w:vertAlign w:val="subscript"/>
          <w:lang w:val="en-US"/>
        </w:rPr>
        <w:t>[3]</w:t>
      </w:r>
      <w:r>
        <w:rPr>
          <w:lang w:val="en-US"/>
        </w:rPr>
        <w:t xml:space="preserve">. ICH E6(R3) moved these ideas out of the sponsor’s quality-management section and placed quality by design and proportionality among the principles that govern both the design and the conduct </w:t>
      </w:r>
      <w:r>
        <w:rPr>
          <w:lang w:val="en-US"/>
        </w:rPr>
        <w:t xml:space="preserve">of a trial (Principles 6 and 7) </w:t>
      </w:r>
      <w:r>
        <w:rPr>
          <w:sz w:val="18"/>
          <w:szCs w:val="18"/>
          <w:vertAlign w:val="subscript"/>
          <w:lang w:val="en-US"/>
        </w:rPr>
        <w:t>[6]</w:t>
      </w:r>
      <w:r>
        <w:rPr>
          <w:lang w:val="en-US"/>
        </w:rPr>
        <w:t xml:space="preserve">. The investigator section also became more specific, because the level of oversight of delegated activities now depends on the importance of the data collected and on the risks to participant safety and data reliability (Section 2.3.1) </w:t>
      </w:r>
      <w:r>
        <w:rPr>
          <w:sz w:val="18"/>
          <w:szCs w:val="18"/>
          <w:vertAlign w:val="subscript"/>
          <w:lang w:val="en-US"/>
        </w:rPr>
        <w:t>[6]</w:t>
      </w:r>
      <w:r>
        <w:rPr>
          <w:lang w:val="en-US"/>
        </w:rPr>
        <w:t xml:space="preserve">. The guideline added a section on data governance addressed to investigators and sponsors (Section 4), while trial-level quality management stays with the sponsor (Section 3.10) </w:t>
      </w:r>
      <w:r>
        <w:rPr>
          <w:sz w:val="18"/>
          <w:szCs w:val="18"/>
          <w:vertAlign w:val="subscript"/>
          <w:lang w:val="en-US"/>
        </w:rPr>
        <w:t>[6]</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t xml:space="preserve">This development and reinforcement of concepts was considered a landmark, marking a shift from a prescriptive model toward a governance model </w:t>
      </w:r>
      <w:r>
        <w:rPr>
          <w:sz w:val="18"/>
          <w:szCs w:val="18"/>
          <w:vertAlign w:val="subscript"/>
          <w:lang w:val="en-US"/>
        </w:rPr>
        <w:t>[7]</w:t>
      </w:r>
      <w:r>
        <w:rPr>
          <w:lang w:val="en-US"/>
        </w:rPr>
        <w:t xml:space="preserve">. In a prescriptive model, a site shows quality mainly by documenting that it followed the required procedures. </w:t>
      </w:r>
      <w:r>
        <w:rPr>
          <w:lang w:val="en-US"/>
        </w:rPr>
        <w:t>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 xml:space="preserve">Although the ICH guidelines are written broadly, their principal Good Clinical Practice (GCP) scope is interventional trials of investigational products, and their vocabulary reflects that origin </w:t>
      </w:r>
      <w:r>
        <w:rPr>
          <w:sz w:val="18"/>
          <w:szCs w:val="18"/>
          <w:vertAlign w:val="subscript"/>
          <w:lang w:val="en-US"/>
        </w:rPr>
        <w:t>[6]</w:t>
      </w:r>
      <w:r>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Pr>
          <w:sz w:val="18"/>
          <w:szCs w:val="18"/>
          <w:vertAlign w:val="subscript"/>
          <w:lang w:val="en-US"/>
        </w:rPr>
        <w:t>[8]</w:t>
      </w:r>
      <w:r>
        <w:rPr>
          <w:lang w:val="en-US"/>
        </w:rPr>
        <w:t>.</w:t>
      </w:r>
    </w:p>
    <w:p w14:paraId="34C01091" w14:textId="082A4738" w:rsidR="005B6E92" w:rsidRPr="00933DA5" w:rsidRDefault="00363464">
      <w:pPr>
        <w:rPr>
          <w:lang w:val="en-US"/>
        </w:rPr>
      </w:pPr>
      <w:r>
        <w:rPr>
          <w:lang w:val="en-US"/>
        </w:rPr>
        <w:t xml:space="preserve">ISO 14155 has followed a parallel path. It was first published in 1996 and revised in 2011, 2020, and 2026 </w:t>
      </w:r>
      <w:r>
        <w:rPr>
          <w:sz w:val="18"/>
          <w:szCs w:val="18"/>
          <w:vertAlign w:val="subscript"/>
          <w:lang w:val="en-US"/>
        </w:rPr>
        <w:t>[8]</w:t>
      </w:r>
      <w:r>
        <w:rPr>
          <w:lang w:val="en-US"/>
        </w:rPr>
        <w:t xml:space="preserve">.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 </w:t>
      </w:r>
      <w:r>
        <w:rPr>
          <w:sz w:val="18"/>
          <w:szCs w:val="18"/>
          <w:vertAlign w:val="subscript"/>
          <w:lang w:val="en-US"/>
        </w:rPr>
        <w:t>[9]</w:t>
      </w:r>
      <w:r>
        <w:rPr>
          <w:lang w:val="en-US"/>
        </w:rPr>
        <w:t>.</w:t>
      </w:r>
    </w:p>
    <w:p w14:paraId="47484CEA" w14:textId="4CEA2190" w:rsidR="005B6E92" w:rsidRPr="00933DA5" w:rsidRDefault="00363464">
      <w:pPr>
        <w:rPr>
          <w:lang w:val="en-US"/>
        </w:rPr>
      </w:pPr>
      <w:r>
        <w:rPr>
          <w:lang w:val="en-US"/>
        </w:rPr>
        <w:t xml:space="preserve">Regional regulations supply legal force. In the EU, Regulation (EU) 2017/745 on medical devices (MDR) governs clinical investigations and establishes requirements for authorization, conduct, documentation, and reporting </w:t>
      </w:r>
      <w:r>
        <w:rPr>
          <w:sz w:val="18"/>
          <w:szCs w:val="18"/>
          <w:vertAlign w:val="subscript"/>
          <w:lang w:val="en-US"/>
        </w:rPr>
        <w:t>[10]</w:t>
      </w:r>
      <w:r>
        <w:rPr>
          <w:lang w:val="en-US"/>
        </w:rPr>
        <w:t xml:space="preserve">. The United States uses a separate statutory and regulatory framework under the Federal Food, Drug, and Cosmetic Act </w:t>
      </w:r>
      <w:r>
        <w:rPr>
          <w:sz w:val="18"/>
          <w:szCs w:val="18"/>
          <w:vertAlign w:val="subscript"/>
          <w:lang w:val="en-US"/>
        </w:rPr>
        <w:t>[11]</w:t>
      </w:r>
      <w:r>
        <w:rPr>
          <w:lang w:val="en-US"/>
        </w:rPr>
        <w:t xml:space="preserve"> and Title 21 of the Code of Federal Regulations </w:t>
      </w:r>
      <w:r>
        <w:rPr>
          <w:sz w:val="18"/>
          <w:szCs w:val="18"/>
          <w:vertAlign w:val="subscript"/>
          <w:lang w:val="en-US"/>
        </w:rPr>
        <w:t>[12]</w:t>
      </w:r>
      <w:r>
        <w:rPr>
          <w:lang w:val="en-US"/>
        </w:rPr>
        <w:t>.</w:t>
      </w:r>
    </w:p>
    <w:p w14:paraId="01EC6CF7" w14:textId="77777777" w:rsidR="002C357D" w:rsidRDefault="009371A6" w:rsidP="002C357D">
      <w:pPr>
        <w:rPr>
          <w:lang w:val="en-US"/>
        </w:rPr>
      </w:pPr>
      <w:r>
        <w:rPr>
          <w:lang w:val="en-US"/>
        </w:rPr>
        <w:t xml:space="preserve">Despite the clear direction set by the guidelines, adoption in practice remains uneven. </w:t>
      </w:r>
      <w:r>
        <w:rPr>
          <w:lang w:val="en-US"/>
        </w:rPr>
        <w:t xml:space="preserve">In a global online survey run by the Tufts Center for the Study of Drug Development in late </w:t>
      </w:r>
      <w:r>
        <w:rPr>
          <w:lang w:val="en-US"/>
        </w:rPr>
        <w:t xml:space="preserve">2022 and early 2023, Florez et al. </w:t>
      </w:r>
      <w:r>
        <w:rPr>
          <w:sz w:val="18"/>
          <w:szCs w:val="18"/>
          <w:vertAlign w:val="subscript"/>
          <w:lang w:val="en-US"/>
        </w:rPr>
        <w:t>[13]</w:t>
      </w:r>
      <w:r>
        <w:rPr>
          <w:lang w:val="en-US"/>
        </w:rPr>
        <w:t xml:space="preserve"> collected responses from 119 pharmaceutical and biotechnology sponsors on 32 risk-based quality management (RBQM) practices, and identifying CtQ factors was among the five practices with the lowest rates of use.</w:t>
      </w:r>
      <w:r>
        <w:rPr>
          <w:lang w:val="en-US"/>
        </w:rPr>
        <w:t xml:space="preserv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first step of the QbD approach is still difficult at sponsor level, where the concept was developed and where resources are usually concentrated.</w:t>
      </w:r>
      <w:bookmarkStart w:id="43" w:name="_feoe2s2ob3yr" w:colFirst="0" w:colLast="0"/>
      <w:bookmarkStart w:id="44" w:name="_Toc241922289"/>
      <w:bookmarkEnd w:id="43"/>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rPr>
          <w:lang w:val="en-US"/>
        </w:rPr>
      </w:pPr>
      <w:bookmarkStart w:id="46" w:name="_dqjy2cy30077" w:colFirst="0" w:colLast="0"/>
      <w:bookmarkStart w:id="47" w:name="_Toc241922290"/>
      <w:bookmarkStart w:id="48" w:name="_Toc243947237"/>
      <w:bookmarkEnd w:id="44"/>
      <w:bookmarkEnd w:id="46"/>
      <w:r>
        <w:rPr>
          <w:lang w:val="en-US"/>
        </w:rPr>
        <w:t>1.2 Surgical Device Investigations as a Distinct Methodological Context</w:t>
      </w:r>
      <w:bookmarkEnd w:id="47"/>
      <w:bookmarkEnd w:id="48"/>
    </w:p>
    <w:p w14:paraId="7C070104" w14:textId="0BB49FD7" w:rsidR="005B6E92" w:rsidRPr="00933DA5" w:rsidRDefault="00363464">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 </w:t>
      </w:r>
      <w:r>
        <w:rPr>
          <w:sz w:val="18"/>
          <w:szCs w:val="18"/>
          <w:vertAlign w:val="subscript"/>
          <w:lang w:val="en-US"/>
        </w:rPr>
        <w:t>[14, 15]</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Pr>
          <w:sz w:val="18"/>
          <w:szCs w:val="18"/>
          <w:vertAlign w:val="subscript"/>
          <w:lang w:val="en-US"/>
        </w:rPr>
        <w:t>[14, 16, 17]</w:t>
      </w:r>
      <w:r>
        <w:rPr>
          <w:lang w:val="en-US"/>
        </w:rPr>
        <w:t xml:space="preserve">. </w:t>
      </w:r>
    </w:p>
    <w:p w14:paraId="40AA5589" w14:textId="77777777" w:rsidR="005B6E92" w:rsidRPr="00933DA5" w:rsidRDefault="00363464">
      <w:pPr>
        <w:rPr>
          <w:lang w:val="en-US"/>
        </w:rPr>
      </w:pPr>
      <w:r>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Pr>
          <w:sz w:val="18"/>
          <w:szCs w:val="18"/>
          <w:vertAlign w:val="subscript"/>
          <w:lang w:val="en-US"/>
        </w:rPr>
        <w:t>[18–22]</w:t>
      </w:r>
      <w:r>
        <w:rPr>
          <w:lang w:val="en-US"/>
        </w:rPr>
        <w:t xml:space="preserve">. </w:t>
      </w:r>
    </w:p>
    <w:p w14:paraId="1893F0B9" w14:textId="05C1A37E" w:rsidR="00FE3B66" w:rsidRDefault="00363464">
      <w:pPr>
        <w:rPr>
          <w:lang w:val="en-US"/>
        </w:rPr>
      </w:pPr>
      <w:r>
        <w:rPr>
          <w:lang w:val="en-US"/>
        </w:rPr>
        <w:t xml:space="preserve">The third condition is traceability. </w:t>
      </w:r>
      <w:r>
        <w:rPr>
          <w:lang w:val="en-US"/>
        </w:rPr>
        <w:t xml:space="preserve">Under the MDR, documentation and record-retention duties support traceability of the individual investigational device. ISO 14155:2026 likewise addresses investigational-device accountability and traceability </w:t>
      </w:r>
      <w:r>
        <w:rPr>
          <w:sz w:val="18"/>
          <w:szCs w:val="18"/>
          <w:vertAlign w:val="subscript"/>
          <w:lang w:val="en-US"/>
        </w:rPr>
        <w:t>[8, 10]</w:t>
      </w:r>
      <w:r>
        <w:rPr>
          <w:lang w:val="en-US"/>
        </w:rPr>
        <w:t>.</w:t>
      </w:r>
      <w:r>
        <w:rPr>
          <w:lang w:val="en-US"/>
        </w:rPr>
        <w:t xml:space="preserve"> </w:t>
      </w:r>
      <w:r>
        <w:rPr>
          <w:lang w:val="en-US"/>
        </w:rPr>
        <w:t>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 xml:space="preserve">Follow-up, the fourth condition, carries substantial operational weight. Range-of-motion (ROM) assessments, patient-reported outcome measures (PROMs), and radiographic evaluations often require repeated attendance over several years and consistent assessment </w:t>
      </w:r>
      <w:r>
        <w:rPr>
          <w:lang w:val="en-US"/>
        </w:rPr>
        <w:t xml:space="preserve">procedures. Orthopedic studies also show that loss to follow-up is common enough to threaten interpretation when it is not defined and managed consistently </w:t>
      </w:r>
      <w:r>
        <w:rPr>
          <w:sz w:val="18"/>
          <w:szCs w:val="18"/>
          <w:vertAlign w:val="subscript"/>
          <w:lang w:val="en-US"/>
        </w:rPr>
        <w:t>[23, 24]</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 </w:t>
      </w:r>
      <w:r>
        <w:rPr>
          <w:sz w:val="18"/>
          <w:szCs w:val="18"/>
          <w:vertAlign w:val="subscript"/>
          <w:lang w:val="en-US"/>
        </w:rPr>
        <w:t>[25–27]</w:t>
      </w:r>
      <w:r>
        <w:rPr>
          <w:lang w:val="en-US"/>
        </w:rPr>
        <w:t>,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bookmarkStart w:id="53" w:name="_Toc243947238"/>
      <w:r>
        <w:rPr>
          <w:lang w:val="en-US"/>
        </w:rPr>
        <w:t>1.3 Quality Responsibility at the Investigational Site</w:t>
      </w:r>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 xml:space="preserve">Sponsors retain primary responsibility for trial-level quality management and oversight </w:t>
      </w:r>
      <w:r>
        <w:rPr>
          <w:sz w:val="18"/>
          <w:szCs w:val="18"/>
          <w:vertAlign w:val="subscript"/>
          <w:lang w:val="en-US"/>
        </w:rPr>
        <w:t>[6, 8, 10]</w:t>
      </w:r>
      <w:r>
        <w:rPr>
          <w:lang w:val="en-US"/>
        </w:rPr>
        <w:t xml:space="preserve">. Investigators, in turn, are responsible for the conduct and oversight of activities delegated at the site, including ensuring qualified staff and adequate resources </w:t>
      </w:r>
      <w:r>
        <w:rPr>
          <w:sz w:val="18"/>
          <w:szCs w:val="18"/>
          <w:vertAlign w:val="subscript"/>
          <w:lang w:val="en-US"/>
        </w:rPr>
        <w:t>[6, 8]</w:t>
      </w:r>
      <w:r>
        <w:rPr>
          <w:lang w:val="en-US"/>
        </w:rPr>
        <w:t xml:space="preserve">. </w:t>
      </w:r>
      <w:r>
        <w:rPr>
          <w:lang w:val="en-US"/>
        </w:rPr>
        <w:t>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rPr>
          <w:lang w:val="en-US"/>
        </w:rPr>
      </w:pPr>
      <w:bookmarkStart w:id="56" w:name="_oz4r8gukf4pn" w:colFirst="0" w:colLast="0"/>
      <w:bookmarkStart w:id="57" w:name="_Toc241922291"/>
      <w:bookmarkStart w:id="58" w:name="_Toc243947239"/>
      <w:bookmarkEnd w:id="56"/>
      <w:r>
        <w:rPr>
          <w:lang w:val="en-US"/>
        </w:rPr>
        <w:t>1.4 What Has Been Built for Sites, and for Whom</w:t>
      </w:r>
      <w:bookmarkEnd w:id="57"/>
      <w:bookmarkEnd w:id="58"/>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 </w:t>
      </w:r>
      <w:r>
        <w:rPr>
          <w:sz w:val="18"/>
          <w:szCs w:val="18"/>
          <w:vertAlign w:val="subscript"/>
          <w:lang w:val="en-US"/>
        </w:rPr>
        <w:t>[28]</w:t>
      </w:r>
      <w:r>
        <w:rPr>
          <w:lang w:val="en-US"/>
        </w:rPr>
        <w:t xml:space="preserve">. The second group measures the readiness or the performance of a site, so that a sponsor or a research network can compare sites and decide where to act, and Section 1.4.2 reviews it  </w:t>
      </w:r>
      <w:r>
        <w:rPr>
          <w:sz w:val="18"/>
          <w:szCs w:val="18"/>
          <w:vertAlign w:val="subscript"/>
          <w:lang w:val="en-US"/>
        </w:rPr>
        <w:t>[29]</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 </w:t>
      </w:r>
      <w:r>
        <w:rPr>
          <w:sz w:val="18"/>
          <w:szCs w:val="18"/>
          <w:vertAlign w:val="subscript"/>
          <w:lang w:val="en-US"/>
        </w:rPr>
        <w:t>[30, 31]</w:t>
      </w:r>
      <w:r>
        <w:rPr>
          <w:lang w:val="en-US"/>
        </w:rPr>
        <w:t xml:space="preserve">. </w:t>
      </w:r>
    </w:p>
    <w:p w14:paraId="447A2521" w14:textId="77777777" w:rsidR="005B6E92" w:rsidRPr="00933DA5" w:rsidRDefault="00363464">
      <w:pPr>
        <w:pStyle w:val="Ttulo3"/>
        <w:rPr>
          <w:lang w:val="en-US"/>
        </w:rPr>
      </w:pPr>
      <w:bookmarkStart w:id="59" w:name="_fhee5vc73i82" w:colFirst="0" w:colLast="0"/>
      <w:bookmarkStart w:id="60" w:name="_Toc243947240"/>
      <w:bookmarkEnd w:id="59"/>
      <w:r>
        <w:rPr>
          <w:lang w:val="en-US"/>
        </w:rPr>
        <w:t>1.4.1 Instruments written for the sponsor and the trial</w:t>
      </w:r>
      <w:bookmarkEnd w:id="60"/>
    </w:p>
    <w:p w14:paraId="05537192" w14:textId="20B4559E" w:rsidR="00E93869" w:rsidRPr="00E93869" w:rsidRDefault="00E93869" w:rsidP="00E93869">
      <w:pPr>
        <w:rPr>
          <w:lang w:val="en-US"/>
        </w:rPr>
      </w:pPr>
      <w:r>
        <w:rPr>
          <w:lang w:val="en-US"/>
        </w:rPr>
        <w:t xml:space="preserve">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 </w:t>
      </w:r>
      <w:r>
        <w:rPr>
          <w:sz w:val="18"/>
          <w:szCs w:val="18"/>
          <w:vertAlign w:val="subscript"/>
          <w:lang w:val="en-US"/>
        </w:rPr>
        <w:t>[32]</w:t>
      </w:r>
      <w:r>
        <w:rPr>
          <w:lang w:val="en-US"/>
        </w:rPr>
        <w:t xml:space="preserve">.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 </w:t>
      </w:r>
      <w:r>
        <w:rPr>
          <w:sz w:val="18"/>
          <w:szCs w:val="18"/>
          <w:vertAlign w:val="subscript"/>
          <w:lang w:val="en-US"/>
        </w:rPr>
        <w:t>[33]</w:t>
      </w:r>
      <w:r>
        <w:rPr>
          <w:lang w:val="en-US"/>
        </w:rPr>
        <w:t xml:space="preserve">.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 </w:t>
      </w:r>
      <w:r>
        <w:rPr>
          <w:sz w:val="18"/>
          <w:szCs w:val="18"/>
          <w:vertAlign w:val="subscript"/>
          <w:lang w:val="en-US"/>
        </w:rPr>
        <w:t>[34]</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w:t>
      </w:r>
      <w:r>
        <w:rPr>
          <w:lang w:val="en-US"/>
        </w:rPr>
        <w:t>they also cover how oversight is coordinated across several sites. The site appears in them mainly as the place where these decisions are carried out and checked, for example through on-site and central monitoring. The documents are detailed and technically mature, but they say 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 </w:t>
      </w:r>
      <w:r>
        <w:rPr>
          <w:sz w:val="18"/>
          <w:szCs w:val="18"/>
          <w:vertAlign w:val="subscript"/>
          <w:lang w:val="en-US"/>
        </w:rPr>
        <w:t>[35]</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 </w:t>
      </w:r>
      <w:r>
        <w:rPr>
          <w:sz w:val="18"/>
          <w:szCs w:val="18"/>
          <w:vertAlign w:val="subscript"/>
          <w:lang w:val="en-US"/>
        </w:rPr>
        <w:t>[36]</w:t>
      </w:r>
      <w:r>
        <w:rPr>
          <w:lang w:val="en-US"/>
        </w:rPr>
        <w:t xml:space="preserve">. </w:t>
      </w:r>
      <w:r>
        <w:rPr>
          <w:lang w:val="en-US"/>
        </w:rPr>
        <w:t xml:space="preserve">A Delphi process with 71 stakeholders produced 59 strategies to overcome the challenges to SQA in oncology trials, of which 14 gained consensus within an active randomized trial </w:t>
      </w:r>
      <w:r>
        <w:rPr>
          <w:sz w:val="18"/>
          <w:szCs w:val="18"/>
          <w:vertAlign w:val="subscript"/>
          <w:lang w:val="en-US"/>
        </w:rPr>
        <w:t>[37]</w:t>
      </w:r>
      <w:r>
        <w:rPr>
          <w:lang w:val="en-US"/>
        </w:rPr>
        <w:t xml:space="preserve">. A parallel Delphi with 40 experts from 15 countries produced a 13-item checklist for gastrointestinal surgery </w:t>
      </w:r>
      <w:r>
        <w:rPr>
          <w:sz w:val="18"/>
          <w:szCs w:val="18"/>
          <w:vertAlign w:val="subscript"/>
          <w:lang w:val="en-US"/>
        </w:rPr>
        <w:t>[38]</w:t>
      </w:r>
      <w:r>
        <w:rPr>
          <w:lang w:val="en-US"/>
        </w:rPr>
        <w:t>.</w:t>
      </w:r>
    </w:p>
    <w:p w14:paraId="3011284F" w14:textId="7CBBE335" w:rsidR="005B6E92" w:rsidRDefault="00132C82">
      <w:pPr>
        <w:rPr>
          <w:lang w:val="en-US"/>
        </w:rPr>
      </w:pPr>
      <w:r>
        <w:rPr>
          <w:lang w:val="en-US"/>
        </w:rPr>
        <w:t xml:space="preserve">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 </w:t>
      </w:r>
      <w:r>
        <w:rPr>
          <w:sz w:val="18"/>
          <w:szCs w:val="18"/>
          <w:vertAlign w:val="subscript"/>
          <w:lang w:val="en-US"/>
        </w:rPr>
        <w:t>[39]</w:t>
      </w:r>
      <w:r>
        <w:rPr>
          <w:lang w:val="en-US"/>
        </w:rPr>
        <w:t xml:space="preserve">. The oncology review that first organized these domains had reached a similar conclusion, finding that effective SQA measures were inadequately implemented and reported </w:t>
      </w:r>
      <w:r>
        <w:rPr>
          <w:sz w:val="18"/>
          <w:szCs w:val="18"/>
          <w:vertAlign w:val="subscript"/>
          <w:lang w:val="en-US"/>
        </w:rPr>
        <w:t>[35]</w:t>
      </w:r>
      <w:r>
        <w:rPr>
          <w:lang w:val="en-US"/>
        </w:rPr>
        <w:t xml:space="preserve">. </w:t>
      </w:r>
      <w:r>
        <w:rPr>
          <w:lang w:val="en-US"/>
        </w:rPr>
        <w:t xml:space="preserve">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 </w:t>
      </w:r>
      <w:r>
        <w:rPr>
          <w:sz w:val="18"/>
          <w:szCs w:val="18"/>
          <w:vertAlign w:val="subscript"/>
          <w:lang w:val="en-US"/>
        </w:rPr>
        <w:t>[40]</w:t>
      </w:r>
      <w:r>
        <w:rPr>
          <w:lang w:val="en-US"/>
        </w:rPr>
        <w:t>.</w:t>
      </w:r>
    </w:p>
    <w:p w14:paraId="0E23BEB5" w14:textId="692BAFAF" w:rsidR="00132C82" w:rsidRPr="00132C82" w:rsidRDefault="00132C82">
      <w:pPr>
        <w:rPr>
          <w:lang w:val="en-US"/>
        </w:rPr>
      </w:pPr>
      <w:r>
        <w:rPr>
          <w:lang w:val="en-US"/>
        </w:rPr>
        <w:t xml:space="preserve">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 </w:t>
      </w:r>
      <w:r>
        <w:rPr>
          <w:sz w:val="18"/>
          <w:szCs w:val="18"/>
          <w:vertAlign w:val="subscript"/>
          <w:lang w:val="en-US"/>
        </w:rPr>
        <w:t>[39]</w:t>
      </w:r>
      <w:r>
        <w:rPr>
          <w:lang w:val="en-US"/>
        </w:rPr>
        <w:t xml:space="preserve">. That step takes place at the site, which runs the investigation every day, while the frameworks are held by the trial team and applied to the site from outside. In multicenter trials this centralization is a deliberate choice, because the aim is a common standard across sites, but </w:t>
      </w:r>
      <w:r>
        <w:rPr>
          <w:lang w:val="en-US"/>
        </w:rPr>
        <w:t>it leaves the site without an instrument of its own to observe and correct its conduct while the trial runs.</w:t>
      </w:r>
    </w:p>
    <w:p w14:paraId="1D441FF7" w14:textId="65AB4207" w:rsidR="005B6E92" w:rsidRPr="00132C82" w:rsidRDefault="00363464">
      <w:pPr>
        <w:pStyle w:val="Ttulo3"/>
        <w:spacing w:line="360" w:lineRule="auto"/>
        <w:rPr>
          <w:lang w:val="en-US"/>
        </w:rPr>
      </w:pPr>
      <w:bookmarkStart w:id="65" w:name="_30q8sriymyep" w:colFirst="0" w:colLast="0"/>
      <w:bookmarkStart w:id="66" w:name="_Toc243947241"/>
      <w:bookmarkEnd w:id="65"/>
      <w:r>
        <w:rPr>
          <w:lang w:val="en-US"/>
        </w:rPr>
        <w:t>1.4.2 Instruments that assess the site from outside</w:t>
      </w:r>
      <w:bookmarkEnd w:id="66"/>
    </w:p>
    <w:p w14:paraId="598B0239" w14:textId="39BE4D77" w:rsidR="005B6E92" w:rsidRPr="00132C82" w:rsidRDefault="00132C82">
      <w:pPr>
        <w:rPr>
          <w:lang w:val="en-US"/>
        </w:rPr>
      </w:pPr>
      <w:r>
        <w:rPr>
          <w:lang w:val="en-US"/>
        </w:rPr>
        <w:t xml:space="preserve">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 </w:t>
      </w:r>
      <w:r>
        <w:rPr>
          <w:sz w:val="18"/>
          <w:szCs w:val="18"/>
          <w:vertAlign w:val="subscript"/>
          <w:lang w:val="en-US"/>
        </w:rPr>
        <w:t>[41]</w:t>
      </w:r>
      <w:r>
        <w:rPr>
          <w:lang w:val="en-US"/>
        </w:rPr>
        <w:t xml:space="preserve">.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 </w:t>
      </w:r>
      <w:r>
        <w:rPr>
          <w:sz w:val="18"/>
          <w:szCs w:val="18"/>
          <w:vertAlign w:val="subscript"/>
          <w:lang w:val="en-US"/>
        </w:rPr>
        <w:t>[41]</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 </w:t>
      </w:r>
      <w:r>
        <w:rPr>
          <w:sz w:val="18"/>
          <w:szCs w:val="18"/>
          <w:vertAlign w:val="subscript"/>
          <w:lang w:val="en-US"/>
        </w:rPr>
        <w:t>[42–44]</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Pr>
          <w:sz w:val="18"/>
          <w:szCs w:val="18"/>
          <w:vertAlign w:val="subscript"/>
          <w:lang w:val="en-US"/>
        </w:rPr>
        <w:t>[45]</w:t>
      </w:r>
      <w:r>
        <w:rPr>
          <w:lang w:val="en-US"/>
        </w:rPr>
        <w:t xml:space="preserve">. Sites value RBM, but they often experience it as an external requirement. It reaches them through the sponsor and the contract research organization (CRO), and they have little control over it </w:t>
      </w:r>
      <w:r>
        <w:rPr>
          <w:sz w:val="18"/>
          <w:szCs w:val="18"/>
          <w:vertAlign w:val="subscript"/>
          <w:lang w:val="en-US"/>
        </w:rPr>
        <w:t>[46, 47]</w:t>
      </w:r>
      <w:r>
        <w:rPr>
          <w:lang w:val="en-US"/>
        </w:rPr>
        <w:t>.</w:t>
      </w:r>
    </w:p>
    <w:p w14:paraId="4AEBBE56" w14:textId="161559D2" w:rsidR="004F5FFB" w:rsidRPr="00933DA5" w:rsidRDefault="004F5FFB">
      <w:pPr>
        <w:rPr>
          <w:lang w:val="en-US"/>
        </w:rPr>
      </w:pPr>
      <w:r>
        <w:rPr>
          <w:lang w:val="en-US"/>
        </w:rPr>
        <w:t xml:space="preserve">A device trial shows how this external RBM works in practice. In 2017, BIOTRONIK, a manufacturer of cardiac rhythm devices, reported on the RBM strategy it applied as sponsor to its trials of implantable cardiac devices, which covered 133 investigator sites and 3,442 participants </w:t>
      </w:r>
      <w:r>
        <w:rPr>
          <w:sz w:val="18"/>
          <w:szCs w:val="18"/>
          <w:vertAlign w:val="subscript"/>
          <w:lang w:val="en-US"/>
        </w:rPr>
        <w:t>[48]</w:t>
      </w:r>
      <w:r>
        <w:rPr>
          <w:lang w:val="en-US"/>
        </w:rPr>
        <w:t xml:space="preserve">.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w:t>
      </w:r>
      <w:r>
        <w:rPr>
          <w:lang w:val="en-US"/>
        </w:rPr>
        <w:t>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rPr>
          <w:lang w:val="en-US"/>
        </w:rPr>
      </w:pPr>
      <w:bookmarkStart w:id="67" w:name="_3ku0c6p3zgd0" w:colFirst="0" w:colLast="0"/>
      <w:bookmarkStart w:id="68" w:name="_Toc241922292"/>
      <w:bookmarkStart w:id="69" w:name="_Toc243947242"/>
      <w:bookmarkEnd w:id="67"/>
      <w:r>
        <w:rPr>
          <w:lang w:val="en-US"/>
        </w:rPr>
        <w:t>1.5 Aim, Objectives, and Scope</w:t>
      </w:r>
      <w:bookmarkEnd w:id="68"/>
      <w:bookmarkEnd w:id="69"/>
    </w:p>
    <w:p w14:paraId="1C5D196E" w14:textId="25C5D9D4" w:rsidR="009C1FCE" w:rsidRPr="009C1FCE" w:rsidRDefault="009C1FCE" w:rsidP="009C1FCE">
      <w:pPr>
        <w:rPr>
          <w:lang w:val="en-US"/>
        </w:rPr>
      </w:pPr>
      <w:r>
        <w:rPr>
          <w:lang w:val="en-US"/>
        </w:rPr>
        <w:t xml:space="preserve">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w:t>
      </w:r>
      <w:r>
        <w:rPr>
          <w:lang w:val="en-US"/>
        </w:rPr>
        <w:t>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vertAlign w:val="subscript"/>
          <w:lang w:val="en-US"/>
        </w:rPr>
      </w:pPr>
      <w:r>
        <w:rPr>
          <w:lang w:val="en-US"/>
        </w:rPr>
        <w:t xml:space="preserve">The work was narrowed to orthopedic investigations, because the MDR classifies joint replacements as class III devices and generally requires clinical investigations for them, so a new joint replacement normally reaches the market only after investigations conducted at surgical sites </w:t>
      </w:r>
      <w:r>
        <w:rPr>
          <w:sz w:val="18"/>
          <w:szCs w:val="18"/>
          <w:vertAlign w:val="subscript"/>
          <w:lang w:val="en-US"/>
        </w:rPr>
        <w:t>[10]</w:t>
      </w:r>
      <w:r>
        <w:rPr>
          <w:lang w:val="en-US"/>
        </w:rPr>
        <w:t xml:space="preserve">. </w:t>
      </w:r>
      <w:r>
        <w:rPr>
          <w:lang w:val="en-US"/>
        </w:rPr>
        <w:t xml:space="preserve">Within orthopedics, the work focuses on the shoulder, because a framework is usable only if it reaches operational detail, which cannot be achieved across several surgical disciplines at once, and because the shoulder is a widely studied area </w:t>
      </w:r>
      <w:r>
        <w:rPr>
          <w:sz w:val="18"/>
          <w:szCs w:val="18"/>
          <w:vertAlign w:val="subscript"/>
          <w:lang w:val="en-US"/>
        </w:rPr>
        <w:t>[20, 21, 26, 27]</w:t>
      </w:r>
      <w:r>
        <w:rPr>
          <w:lang w:val="en-US"/>
        </w:rPr>
        <w:t xml:space="preserve"> with a large base of registered trials.</w:t>
      </w:r>
      <w:r>
        <w:rPr>
          <w:lang w:val="en-US"/>
        </w:rPr>
        <w:t xml:space="preserve">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rPr>
          <w:lang w:val="en-US"/>
        </w:rPr>
      </w:pPr>
      <w:bookmarkStart w:id="80" w:name="_5eq0a3y8h01g" w:colFirst="0" w:colLast="0"/>
      <w:bookmarkStart w:id="81" w:name="_Toc241922293"/>
      <w:bookmarkStart w:id="82" w:name="_Toc243947243"/>
      <w:bookmarkEnd w:id="80"/>
      <w:r>
        <w:rPr>
          <w:lang w:val="en-US"/>
        </w:rPr>
        <w:t>2. Methodology</w:t>
      </w:r>
      <w:bookmarkEnd w:id="81"/>
      <w:bookmarkEnd w:id="82"/>
    </w:p>
    <w:p w14:paraId="182DD72E" w14:textId="77777777" w:rsidR="005B6E92" w:rsidRPr="00933DA5" w:rsidRDefault="00363464">
      <w:pPr>
        <w:pStyle w:val="Ttulo2"/>
        <w:keepNext w:val="0"/>
        <w:keepLines w:val="0"/>
        <w:rPr>
          <w:lang w:val="en-US"/>
        </w:rPr>
      </w:pPr>
      <w:bookmarkStart w:id="83" w:name="_5m097smapr52" w:colFirst="0" w:colLast="0"/>
      <w:bookmarkStart w:id="84" w:name="_Toc241922294"/>
      <w:bookmarkStart w:id="85" w:name="_Toc243947244"/>
      <w:bookmarkEnd w:id="83"/>
      <w:r>
        <w:rPr>
          <w:lang w:val="en-US"/>
        </w:rPr>
        <w:t>2.1 Design research</w:t>
      </w:r>
      <w:bookmarkEnd w:id="84"/>
      <w:bookmarkEnd w:id="85"/>
    </w:p>
    <w:p w14:paraId="31A4AEEB" w14:textId="77777777" w:rsidR="005B6E92" w:rsidRPr="00933DA5" w:rsidRDefault="00363464">
      <w:pPr>
        <w:pStyle w:val="Ttulo3"/>
        <w:keepNext w:val="0"/>
        <w:keepLines w:val="0"/>
        <w:rPr>
          <w:lang w:val="en-US"/>
        </w:rPr>
      </w:pPr>
      <w:bookmarkStart w:id="86" w:name="_wzn9abe1p68s" w:colFirst="0" w:colLast="0"/>
      <w:bookmarkStart w:id="87" w:name="_Toc243947245"/>
      <w:bookmarkEnd w:id="86"/>
      <w:r>
        <w:rPr>
          <w:lang w:val="en-US"/>
        </w:rPr>
        <w:t>2.1.1 Design science research methodology</w:t>
      </w:r>
      <w:bookmarkEnd w:id="87"/>
    </w:p>
    <w:p w14:paraId="15D7317C" w14:textId="0EC1CF9C" w:rsidR="005B6E92" w:rsidRPr="00933DA5" w:rsidRDefault="00363464">
      <w:pPr>
        <w:rPr>
          <w:lang w:val="en-US"/>
        </w:rPr>
      </w:pPr>
      <w:r>
        <w:rPr>
          <w:lang w:val="en-US"/>
        </w:rPr>
        <w:t xml:space="preserve">As already stated, the objective of this thesis is to build a framework of quality that supports the principles required by the guidelines. To achieve this, our work used an adapted Design Science Research Methodology (DSRM), based on Peffers et al. </w:t>
      </w:r>
      <w:r>
        <w:rPr>
          <w:sz w:val="18"/>
          <w:szCs w:val="18"/>
          <w:vertAlign w:val="subscript"/>
          <w:lang w:val="en-US"/>
        </w:rPr>
        <w:t>[49]</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w:t>
      </w:r>
      <w:r>
        <w:rPr>
          <w:lang w:val="en-US"/>
        </w:rPr>
        <w:t>Sections 3.3 and 3.5 state the objectives for a solution, as site-level CtQ domains and as design requirements DR1 to DR12.</w:t>
      </w:r>
      <w:r>
        <w:rPr>
          <w:lang w:val="en-US"/>
        </w:rPr>
        <w:t xml:space="preserve"> Chapter 4 reports the </w:t>
      </w:r>
      <w:r>
        <w:rPr>
          <w:lang w:val="en-US"/>
        </w:rPr>
        <w:t xml:space="preserve">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w:t>
      </w:r>
      <w:r>
        <w:rPr>
          <w:sz w:val="18"/>
          <w:szCs w:val="18"/>
          <w:vertAlign w:val="subscript"/>
        </w:rPr>
        <w:t>[42, 45]</w:t>
      </w:r>
      <w:r>
        <w:rPr>
          <w:lang w:val="en-US"/>
        </w:rPr>
        <w:t xml:space="preserve">, together with measures for surgical trials that are rarely carried through conduct </w:t>
      </w:r>
      <w:r>
        <w:rPr>
          <w:sz w:val="18"/>
          <w:szCs w:val="18"/>
          <w:vertAlign w:val="subscript"/>
        </w:rPr>
        <w:t>[39]</w:t>
      </w:r>
      <w:r>
        <w:rPr>
          <w:lang w:val="en-US"/>
        </w:rPr>
        <w:t xml:space="preserve">. </w:t>
      </w:r>
      <w:r>
        <w:rPr>
          <w:lang w:val="en-US"/>
        </w:rPr>
        <w:t>As Sections 1.1 and 1.3 describe, the recent guidelines ask more of the investigator and the site team in the day-to-day quality of conduct, but they do not describe how a site should organize itself to do so.</w:t>
      </w:r>
      <w:r>
        <w:rPr>
          <w:lang w:val="en-US"/>
        </w:rPr>
        <w:t xml:space="preserve"> </w:t>
      </w:r>
      <w:r>
        <w:rPr>
          <w:lang w:val="en-US"/>
        </w:rPr>
        <w:t>Since the problem is the absence of a structured, site-level quality management framework for surgical device investigations, the artifact is a framework together with the methods that put it to work.</w:t>
      </w:r>
      <w:r>
        <w:rPr>
          <w:lang w:val="en-US"/>
        </w:rPr>
        <w:t xml:space="preserve">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rPr>
          <w:lang w:val="en-US"/>
        </w:rPr>
      </w:pPr>
      <w:bookmarkStart w:id="94" w:name="_b20a5w39kgpa" w:colFirst="0" w:colLast="0"/>
      <w:bookmarkStart w:id="95" w:name="_Toc243947246"/>
      <w:bookmarkEnd w:id="94"/>
      <w:r>
        <w:rPr>
          <w:lang w:val="en-US"/>
        </w:rPr>
        <w:t>2.1.2 Overview of the research process</w:t>
      </w:r>
      <w:bookmarkEnd w:id="95"/>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w:t>
      </w:r>
      <w:r>
        <w:rPr>
          <w:lang w:val="en-US"/>
        </w:rPr>
        <w:t>The instruments showed what is required, the literature showed what the field has observed and proposed, and the registry analysis showed in which organizational environments the work is done.</w:t>
      </w:r>
      <w:r>
        <w:rPr>
          <w:lang w:val="en-US"/>
        </w:rPr>
        <w:t xml:space="preserv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rPr>
          <w:lang w:val="en-US"/>
        </w:rPr>
      </w:pPr>
      <w:bookmarkStart w:id="102" w:name="_rilc8orjzs64" w:colFirst="0" w:colLast="0"/>
      <w:bookmarkStart w:id="103" w:name="_Toc241922295"/>
      <w:bookmarkStart w:id="104" w:name="_Toc243947247"/>
      <w:bookmarkEnd w:id="102"/>
      <w:r>
        <w:rPr>
          <w:lang w:val="en-US"/>
        </w:rPr>
        <w:t xml:space="preserve">2.2 </w:t>
      </w:r>
      <w:bookmarkEnd w:id="103"/>
      <w:r>
        <w:rPr>
          <w:lang w:val="en-US"/>
        </w:rPr>
        <w:t>Problem identification</w:t>
      </w:r>
      <w:bookmarkEnd w:id="104"/>
    </w:p>
    <w:p w14:paraId="49740EEC" w14:textId="63D4BD84" w:rsidR="005B6E92" w:rsidRPr="00933DA5" w:rsidRDefault="00363464">
      <w:pPr>
        <w:pStyle w:val="Ttulo3"/>
        <w:rPr>
          <w:lang w:val="en-US"/>
        </w:rPr>
      </w:pPr>
      <w:bookmarkStart w:id="105" w:name="_sczvhac2trqp" w:colFirst="0" w:colLast="0"/>
      <w:bookmarkStart w:id="106" w:name="_Toc243947248"/>
      <w:bookmarkEnd w:id="105"/>
      <w:r>
        <w:rPr>
          <w:lang w:val="en-US"/>
        </w:rPr>
        <w:t>2.2.1 Normative instruments</w:t>
      </w:r>
      <w:bookmarkEnd w:id="106"/>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w:t>
      </w:r>
      <w:r>
        <w:rPr>
          <w:lang w:val="en-US"/>
        </w:rPr>
        <w:t>Both were written for medicinal products, so we took the device-specific obligations from two other instruments.</w:t>
      </w:r>
      <w:r>
        <w:rPr>
          <w:lang w:val="en-US"/>
        </w:rPr>
        <w:t xml:space="preserve">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w:t>
      </w:r>
      <w:commentRangeStart w:id="109"/>
      <w:r>
        <w:rPr>
          <w:lang w:val="en-US"/>
        </w:rPr>
        <w:t>ISO 13485:2016, ISO 14971:2019 with its guidance document ISO/TR 24971:2020, and ISO 15189:2022. None</w:t>
      </w:r>
      <w:commentRangeEnd w:id="109"/>
      <w:r>
        <w:rPr>
          <w:rStyle w:val="Refdecomentrio"/>
          <w:sz w:val="24"/>
          <w:szCs w:val="24"/>
          <w:lang w:val="en-US"/>
        </w:rPr>
      </w:r>
      <w:r>
        <w:rPr>
          <w:lang w:val="en-US"/>
        </w:rPr>
        <w:t xml:space="preserv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rPr>
          <w:lang w:val="en-US"/>
        </w:rPr>
      </w:pPr>
      <w:bookmarkStart w:id="110" w:name="_v537myegtmnj" w:colFirst="0" w:colLast="0"/>
      <w:bookmarkStart w:id="111" w:name="_Toc243947249"/>
      <w:bookmarkEnd w:id="110"/>
      <w:r>
        <w:rPr>
          <w:lang w:val="en-US"/>
        </w:rPr>
        <w:t xml:space="preserve">2.2.2 </w:t>
      </w:r>
      <w:r>
        <w:t>Reading and comparison of the normative instruments</w:t>
      </w:r>
      <w:bookmarkEnd w:id="111"/>
    </w:p>
    <w:p w14:paraId="57070CEB" w14:textId="3E48A669" w:rsidR="00827794" w:rsidRPr="00827794" w:rsidRDefault="00827794" w:rsidP="00827794">
      <w:pPr>
        <w:rPr>
          <w:lang w:val="en-US"/>
        </w:rPr>
      </w:pPr>
      <w:r>
        <w:rPr>
          <w:lang w:val="en-US"/>
        </w:rPr>
        <w:t>We read ICH E8(R1), ICH E6(R3), ISO 14155:2026, and the MDR to identify the responsibilities that the instruments declare for the site or the sponsor, and the quality factors that the site’s own work is known to influence.</w:t>
      </w:r>
      <w:r>
        <w:rPr>
          <w:lang w:val="en-US"/>
        </w:rPr>
        <w:t xml:space="preserv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We merged the three sets of entries into a single matrix and compared the requirements across the instruments.</w:t>
      </w:r>
      <w:r>
        <w:rPr>
          <w:lang w:val="en-US"/>
        </w:rPr>
        <w:t xml:space="preserve"> Each one was sorted into one of three categories. A requirement is strongly harmonized when all three instruments create an equivalent obligation on the same party. </w:t>
      </w:r>
      <w:r>
        <w:rPr>
          <w:lang w:val="en-US"/>
        </w:rPr>
        <w:t>A requirement is partially harmonized when the instruments agree on the principle but bind different parties or use different terms.</w:t>
      </w:r>
      <w:r>
        <w:rPr>
          <w:lang w:val="en-US"/>
        </w:rPr>
        <w:t xml:space="preserve">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w:t>
      </w:r>
      <w:r>
        <w:rPr>
          <w:lang w:val="en-US"/>
        </w:rPr>
        <w:t>A requirement found in only one of the device instruments was classified by the party it binds, as partially harmonized when that instrument binds the site and as unaddressed at site level when it binds only the sponsor.</w:t>
      </w:r>
      <w:r>
        <w:rPr>
          <w:lang w:val="en-US"/>
        </w:rPr>
        <w:t xml:space="preserve"> </w:t>
      </w:r>
    </w:p>
    <w:p w14:paraId="0150AF27" w14:textId="09EC14D0" w:rsidR="005B6E92" w:rsidRPr="00933DA5" w:rsidRDefault="00363464">
      <w:pPr>
        <w:pStyle w:val="Ttulo3"/>
        <w:rPr>
          <w:lang w:val="en-US"/>
        </w:rPr>
      </w:pPr>
      <w:bookmarkStart w:id="122" w:name="_pvqqynd18xoz" w:colFirst="0" w:colLast="0"/>
      <w:bookmarkStart w:id="123" w:name="_Toc243947250"/>
      <w:bookmarkEnd w:id="122"/>
      <w:r>
        <w:rPr>
          <w:lang w:val="en-US"/>
        </w:rPr>
        <w:t>2.2.3 Literature review</w:t>
      </w:r>
      <w:bookmarkEnd w:id="123"/>
    </w:p>
    <w:p w14:paraId="50997795" w14:textId="77777777" w:rsidR="008754A3" w:rsidRDefault="008754A3" w:rsidP="00496A52">
      <w:pPr>
        <w:rPr>
          <w:lang w:val="en-US"/>
        </w:rPr>
      </w:pPr>
      <w:bookmarkStart w:id="124" w:name="_1959qfkzebmm" w:colFirst="0" w:colLast="0"/>
      <w:bookmarkEnd w:id="124"/>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 xml:space="preserve">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 </w:t>
      </w:r>
      <w:r>
        <w:rPr>
          <w:sz w:val="18"/>
          <w:szCs w:val="18"/>
          <w:vertAlign w:val="subscript"/>
        </w:rPr>
        <w:t>[33, 34]</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w:t>
      </w:r>
      <w:r>
        <w:rPr>
          <w:lang w:val="en-US"/>
        </w:rPr>
        <w:t xml:space="preserv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rPr>
          <w:lang w:val="en-US"/>
        </w:rPr>
      </w:pPr>
      <w:bookmarkStart w:id="127" w:name="_Toc243947251"/>
      <w:r>
        <w:rPr>
          <w:lang w:val="en-US"/>
        </w:rPr>
        <w:t>2.2.4 Analysis of existing frameworks</w:t>
      </w:r>
      <w:bookmarkEnd w:id="12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rPr>
          <w:lang w:val="en-US"/>
        </w:rPr>
      </w:pPr>
      <w:bookmarkStart w:id="129" w:name="_hqg41lmvu27j" w:colFirst="0" w:colLast="0"/>
      <w:bookmarkStart w:id="130" w:name="_Toc241922297"/>
      <w:bookmarkStart w:id="131" w:name="_Toc243947252"/>
      <w:bookmarkEnd w:id="129"/>
      <w:r>
        <w:rPr>
          <w:lang w:val="en-US"/>
        </w:rPr>
        <w:t>2.3 Registry analysis of investigational site characteristics</w:t>
      </w:r>
      <w:bookmarkEnd w:id="130"/>
      <w:bookmarkEnd w:id="131"/>
    </w:p>
    <w:p w14:paraId="22B0F8CB" w14:textId="6E365CCE" w:rsidR="005B6E92" w:rsidRPr="00933DA5" w:rsidRDefault="00AD3D77">
      <w:pPr>
        <w:rPr>
          <w:lang w:val="en-US"/>
        </w:rPr>
      </w:pPr>
      <w:commentRangeStart w:id="13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[50–54]</w:t>
      </w:r>
      <w:commentRangeEnd w:id="132"/>
      <w:r w:rsidRPr="00AD3D77">
        <w:rPr>
          <w:rStyle w:val="Refdecomentrio"/>
          <w:sz w:val="24"/>
          <w:szCs w:val="24"/>
          <w:lang w:val="en-US"/>
        </w:rPr>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rPr>
          <w:lang w:val="en-US"/>
        </w:rPr>
      </w:pPr>
      <w:bookmarkStart w:id="135" w:name="_edlxwsgqdich" w:colFirst="0" w:colLast="0"/>
      <w:bookmarkStart w:id="136" w:name="_Toc243947253"/>
      <w:bookmarkEnd w:id="135"/>
      <w:r>
        <w:rPr>
          <w:lang w:val="en-US"/>
        </w:rPr>
        <w:t>2.3.1 Data source and search</w:t>
      </w:r>
      <w:bookmarkEnd w:id="136"/>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w:t>
      </w:r>
      <w:r>
        <w:rPr>
          <w:lang w:val="en-US"/>
        </w:rPr>
        <w:t xml:space="preserve"> In the application, the sponsor must identify each investigational site and the principal investigator at each one (Annex XV, Chapter II, Section 3.1.3) </w:t>
      </w:r>
      <w:r>
        <w:rPr>
          <w:sz w:val="18"/>
          <w:szCs w:val="18"/>
          <w:vertAlign w:val="subscript"/>
          <w:lang w:val="en-US"/>
        </w:rPr>
        <w:t>[10]</w:t>
      </w:r>
      <w:r>
        <w:rPr>
          <w:lang w:val="en-US"/>
        </w:rPr>
        <w:t xml:space="preserve">. </w:t>
      </w:r>
      <w:r>
        <w:rPr>
          <w:lang w:val="en-US"/>
        </w:rPr>
        <w:t>Eudamed returned few of these investigations and little site-level data, so we retrieved study records from ClinicalTrials.gov through its public application programming interface (API) v2, with records accessed on 2 May 2026.</w:t>
      </w:r>
      <w:r>
        <w:rPr>
          <w:lang w:val="en-US"/>
        </w:rPr>
        <w:t xml:space="preserve"> ClinicalTrials.gov provides structured, publicly accessible records, including the facility fields that sponsors enter for participating locations. Those fields are not always complete or consistent, as earlier assessments of ClinicalTrials.gov data quality have shown </w:t>
      </w:r>
      <w:r>
        <w:rPr>
          <w:sz w:val="18"/>
          <w:szCs w:val="18"/>
          <w:vertAlign w:val="subscript"/>
          <w:lang w:val="en-US"/>
        </w:rPr>
        <w:t>[55, 56]</w:t>
      </w:r>
      <w:r>
        <w:rPr>
          <w:lang w:val="en-US"/>
        </w:rPr>
        <w:t>.</w:t>
      </w:r>
    </w:p>
    <w:p w14:paraId="541F4BEA" w14:textId="357DB357" w:rsidR="005B6E92" w:rsidRPr="00933DA5" w:rsidRDefault="00363464" w:rsidP="00627AB3">
      <w:pPr>
        <w:rPr>
          <w:lang w:val="en-US"/>
        </w:rPr>
      </w:pPr>
      <w:r>
        <w:rPr>
          <w:lang w:val="en-US"/>
        </w:rPr>
        <w:t xml:space="preserve">We searched for interventional studies involving shoulder conditions, device interventions, and an industry lead sponsor, with study start dates between 2000 and 2026. </w:t>
      </w:r>
      <w:r>
        <w:rPr>
          <w:lang w:val="en-US"/>
        </w:rPr>
        <w:t>We then retained investigations involving implantable shoulder devices.</w:t>
      </w:r>
      <w:r>
        <w:rPr>
          <w:lang w:val="en-US"/>
        </w:rPr>
        <w:t xml:space="preserve"> The site record was the unit of analysis, so an organization was counted once for each investigation in which it took part, and the distribution </w:t>
      </w:r>
      <w:r>
        <w:rPr>
          <w:lang w:val="en-US"/>
        </w:rPr>
        <w:t>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rPr>
          <w:lang w:val="en-US"/>
        </w:rPr>
      </w:pPr>
      <w:bookmarkStart w:id="143" w:name="_pc2voeefn3rk" w:colFirst="0" w:colLast="0"/>
      <w:bookmarkStart w:id="144" w:name="_Toc243947254"/>
      <w:bookmarkEnd w:id="143"/>
      <w:r>
        <w:rPr>
          <w:lang w:val="en-US"/>
        </w:rPr>
        <w:t>2.3.2 Classification of sites</w:t>
      </w:r>
      <w:bookmarkEnd w:id="144"/>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 xml:space="preserve">We classified each organization from public sources, giving priority to its official website and then to public licensing records and recognized institutional directories, with academic publications as the last source. </w:t>
      </w:r>
      <w:r>
        <w:rPr>
          <w:lang w:val="en-US"/>
        </w:rPr>
        <w:t>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rPr>
          <w:lang w:val="en-US"/>
        </w:rPr>
      </w:pPr>
      <w:bookmarkStart w:id="149" w:name="_Toc243947255"/>
      <w:r>
        <w:rPr>
          <w:lang w:val="en-US"/>
        </w:rPr>
        <w:t>2.4 Definition of the objectives of a solution</w:t>
      </w:r>
      <w:bookmarkEnd w:id="149"/>
    </w:p>
    <w:p w14:paraId="10E69A58" w14:textId="03CB2617" w:rsidR="00E621E4" w:rsidRPr="00E621E4" w:rsidRDefault="00E621E4" w:rsidP="00E621E4">
      <w:pPr>
        <w:pStyle w:val="Ttulo3"/>
        <w:rPr>
          <w:lang w:val="en-US"/>
        </w:rPr>
      </w:pPr>
      <w:bookmarkStart w:id="150" w:name="_Toc243947256"/>
      <w:r>
        <w:rPr>
          <w:lang w:val="en-US"/>
        </w:rPr>
        <w:t>2.4.1 Selection criteria for site-level CtQ domains</w:t>
      </w:r>
      <w:bookmarkEnd w:id="150"/>
    </w:p>
    <w:p w14:paraId="2490266F" w14:textId="6F2F3ECD" w:rsidR="006E5A3D" w:rsidRDefault="006E5A3D" w:rsidP="006E5A3D">
      <w:pPr>
        <w:rPr>
          <w:lang w:val="en-US"/>
        </w:rPr>
      </w:pPr>
      <w:r w:rsidRPr="00E36E72">
        <w:rPr>
          <w:highlight w:val="yellow"/>
          <w:lang w:val="en-US"/>
        </w:rPr>
        <w:t xml:space="preserve">ICH E8(R1), in Section 3.2, describes CtQ factors as “attributes of a study whose integrity is fundamental to the protection of study participants, the reliability and interpretability of the study results, and the decisions made based on the study results” </w:t>
      </w:r>
      <w:r w:rsidRPr="00E36E72">
        <w:rPr>
          <w:sz w:val="18"/>
          <w:szCs w:val="18"/>
          <w:highlight w:val="yellow"/>
          <w:vertAlign w:val="subscript"/>
          <w:lang w:val="en-US"/>
        </w:rPr>
        <w:t>[5]</w:t>
      </w:r>
      <w:r w:rsidRPr="00E36E72">
        <w:rPr>
          <w:highlight w:val="yellow"/>
          <w:lang w:val="en-US"/>
        </w:rPr>
        <w:t xml:space="preserve">. A factor therefore belongs to one study. It depends on the design and endpoints of that study and on the product it tests, and ICH E6(R3) places its identification within the quality management of the sponsor (Section 3.10) </w:t>
      </w:r>
      <w:r w:rsidRPr="00E36E72">
        <w:rPr>
          <w:sz w:val="18"/>
          <w:szCs w:val="18"/>
          <w:highlight w:val="yellow"/>
          <w:vertAlign w:val="subscript"/>
          <w:lang w:val="en-US"/>
        </w:rPr>
        <w:t>[6]</w:t>
      </w:r>
      <w:r w:rsidRPr="00E36E72">
        <w:rPr>
          <w:highlight w:val="yellow"/>
          <w:lang w:val="en-US"/>
        </w:rPr>
        <w:t xml:space="preserve">. No list written before an investigation exists can state its factors, so this thesis does not define CtQ factors. It defines site-level CtQ domains, the areas of site operation where </w:t>
      </w:r>
      <w:r w:rsidRPr="00E36E72">
        <w:rPr>
          <w:highlight w:val="yellow"/>
          <w:lang w:val="en-US"/>
        </w:rPr>
        <w:t>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w:t>
      </w:r>
      <w:r>
        <w:rPr>
          <w:sz w:val="18"/>
          <w:szCs w:val="18"/>
          <w:vertAlign w:val="subscript"/>
          <w:lang w:val="en-US"/>
        </w:rPr>
        <w:t>[5, 6]</w:t>
      </w:r>
      <w:r>
        <w:rPr>
          <w:lang w:val="en-US"/>
        </w:rPr>
        <w:t xml:space="preserve">. ICH E8(R1) 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t>
      </w:r>
      <w:r>
        <w:rPr>
          <w:sz w:val="18"/>
          <w:szCs w:val="18"/>
          <w:vertAlign w:val="subscript"/>
          <w:lang w:val="en-US"/>
        </w:rPr>
        <w:t>[5, 6]</w:t>
      </w:r>
      <w:r>
        <w:rPr>
          <w:lang w:val="en-US"/>
        </w:rPr>
        <w:t>.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 xml:space="preserve">Proportionality. Study procedures and controls are scaled to the risks of the study and to the importance of the data they produce (ICH E8(R1), Section 3.2; ICH E6(R3), Principle 7) </w:t>
      </w:r>
      <w:r>
        <w:rPr>
          <w:sz w:val="18"/>
          <w:szCs w:val="18"/>
          <w:vertAlign w:val="subscript"/>
          <w:lang w:val="en-US"/>
        </w:rPr>
        <w:t>[5, 6]</w:t>
      </w:r>
      <w:r>
        <w:rPr>
          <w:lang w:val="en-US"/>
        </w:rPr>
        <w:t>.</w:t>
      </w:r>
    </w:p>
    <w:p w14:paraId="5D22EA82" w14:textId="63E42369" w:rsidR="00363341" w:rsidRPr="00363341" w:rsidRDefault="00363341" w:rsidP="00363341">
      <w:pPr>
        <w:rPr>
          <w:lang w:val="en-US"/>
        </w:rPr>
      </w:pPr>
      <w:r>
        <w:rPr>
          <w:lang w:val="en-US"/>
        </w:rPr>
        <w:t>2.</w:t>
      </w:r>
      <w:r>
        <w:rPr>
          <w:lang w:val="en-US"/>
        </w:rPr>
        <w:tab/>
        <w:t xml:space="preserve">Parsimony. The set of critical factors stays focused. Data and activities that serve neither participant protection nor the primary objectives are left out (ICH E8(R1), Sections 3.2 and 3.3.2) </w:t>
      </w:r>
      <w:r>
        <w:rPr>
          <w:sz w:val="18"/>
          <w:szCs w:val="18"/>
          <w:vertAlign w:val="subscript"/>
          <w:lang w:val="en-US"/>
        </w:rPr>
        <w:t>[5]</w:t>
      </w:r>
      <w:r>
        <w:rPr>
          <w:lang w:val="en-US"/>
        </w:rPr>
        <w:t>.</w:t>
      </w:r>
    </w:p>
    <w:p w14:paraId="1F8B60A9" w14:textId="725445AD" w:rsidR="00363341" w:rsidRPr="00363341" w:rsidRDefault="00363341" w:rsidP="00363341">
      <w:pPr>
        <w:rPr>
          <w:lang w:val="en-US"/>
        </w:rPr>
      </w:pPr>
      <w:r>
        <w:rPr>
          <w:lang w:val="en-US"/>
        </w:rPr>
        <w:t>3.</w:t>
      </w:r>
      <w:r>
        <w:rPr>
          <w:lang w:val="en-US"/>
        </w:rPr>
        <w:tab/>
        <w:t xml:space="preserve">Assigned responsibility. The identification and protection of critical factors are allocated to defined parties, with qualified staff and sufficient resources. At the site, the investigator confirms that each person given a delegated activity is qualified for it </w:t>
      </w:r>
      <w:r>
        <w:rPr>
          <w:lang w:val="en-US"/>
        </w:rPr>
        <w:t xml:space="preserve">(ICH E6(R3), Principle 10 and Sections 2.3.2 and 3.2 to 3.4) </w:t>
      </w:r>
      <w:r>
        <w:rPr>
          <w:sz w:val="18"/>
          <w:szCs w:val="18"/>
          <w:vertAlign w:val="subscript"/>
          <w:lang w:val="en-US"/>
        </w:rPr>
        <w:t>[6]</w:t>
      </w:r>
      <w:r>
        <w:rPr>
          <w:lang w:val="en-US"/>
        </w:rPr>
        <w:t>.</w:t>
      </w:r>
    </w:p>
    <w:p w14:paraId="308D6521" w14:textId="2A1D42DB" w:rsidR="002F135B" w:rsidRDefault="00363341" w:rsidP="00363341">
      <w:pPr>
        <w:rPr>
          <w:lang w:val="en-US"/>
        </w:rPr>
      </w:pPr>
      <w:r>
        <w:rPr>
          <w:lang w:val="en-US"/>
        </w:rPr>
        <w:t>4.</w:t>
      </w:r>
      <w:r>
        <w:rPr>
          <w:lang w:val="en-US"/>
        </w:rPr>
        <w:tab/>
        <w:t xml:space="preserve">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w:t>
      </w:r>
      <w:r>
        <w:rPr>
          <w:sz w:val="18"/>
          <w:szCs w:val="18"/>
          <w:vertAlign w:val="subscript"/>
          <w:lang w:val="en-US"/>
        </w:rPr>
        <w:t>[5, 6]</w:t>
      </w:r>
      <w:r>
        <w:rPr>
          <w:lang w:val="en-US"/>
        </w:rPr>
        <w:t>.</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bookmarkStart w:id="155" w:name="_Toc243947257"/>
      <w:r>
        <w:rPr>
          <w:lang w:val="en-US"/>
        </w:rPr>
        <w:t>2.4.2 Derivation of the site-level CtQ domains</w:t>
      </w:r>
      <w:bookmarkEnd w:id="155"/>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implanted device, while a control states how quality is kept, such as risk review or internal verification. </w:t>
      </w:r>
      <w:r>
        <w:rPr>
          <w:lang w:val="en-US"/>
        </w:rPr>
        <w:t>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w:t>
      </w:r>
      <w:r>
        <w:rPr>
          <w:lang w:val="en-US"/>
        </w:rPr>
        <w:t xml:space="preserve">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bookmarkStart w:id="160" w:name="_Toc243947258"/>
      <w:r>
        <w:rPr>
          <w:lang w:val="en-US"/>
        </w:rPr>
        <w:t>2.4.3 Formulation of the design requirements</w:t>
      </w:r>
      <w:bookmarkEnd w:id="160"/>
    </w:p>
    <w:p w14:paraId="10D59010" w14:textId="069B2BCB" w:rsidR="000802B0" w:rsidRPr="000802B0" w:rsidRDefault="000802B0" w:rsidP="000802B0">
      <w:pPr>
        <w:rPr>
          <w:lang w:val="en-US"/>
        </w:rPr>
      </w:pPr>
      <w:r>
        <w:rPr>
          <w:lang w:val="en-US"/>
        </w:rPr>
        <w:t xml:space="preserve">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w:t>
      </w:r>
      <w:r>
        <w:rPr>
          <w:lang w:val="en-US"/>
        </w:rPr>
        <w:t>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rPr>
          <w:lang w:val="en-US"/>
        </w:rPr>
      </w:pPr>
      <w:bookmarkStart w:id="165" w:name="_Toc243947259"/>
      <w:r>
        <w:rPr>
          <w:lang w:val="en-US"/>
        </w:rPr>
        <w:t>2.5 Design and development</w:t>
      </w:r>
      <w:bookmarkEnd w:id="165"/>
    </w:p>
    <w:p w14:paraId="15963610" w14:textId="77777777" w:rsidR="00AE498A" w:rsidRDefault="00AE498A" w:rsidP="00AE498A">
      <w:pPr>
        <w:pStyle w:val="Ttulo3"/>
      </w:pPr>
      <w:bookmarkStart w:id="166" w:name="_1zacxkec0754" w:colFirst="0" w:colLast="0"/>
      <w:bookmarkStart w:id="167" w:name="_gvsfssd97f9z" w:colFirst="0" w:colLast="0"/>
      <w:bookmarkStart w:id="168" w:name="_Toc243947260"/>
      <w:bookmarkEnd w:id="166"/>
      <w:bookmarkEnd w:id="167"/>
      <w:r>
        <w:t>2.5.1 Derivation of the pillars</w:t>
      </w:r>
      <w:bookmarkEnd w:id="168"/>
    </w:p>
    <w:p w14:paraId="35B214C1" w14:textId="17CBB455" w:rsidR="005B6E92" w:rsidRPr="00933DA5" w:rsidRDefault="000F1764">
      <w:pPr>
        <w:rPr>
          <w:lang w:val="en-US"/>
        </w:rPr>
      </w:pPr>
      <w:r>
        <w:rPr>
          <w:lang w:val="en-US"/>
        </w:rPr>
        <w:t xml:space="preserve">We derived the pillars from the clause structure of three standards that govern other organizations in the device conformity chain: ISO 13485:2016 </w:t>
      </w:r>
      <w:r>
        <w:rPr>
          <w:sz w:val="18"/>
          <w:szCs w:val="18"/>
          <w:vertAlign w:val="subscript"/>
          <w:lang w:val="en-US"/>
        </w:rPr>
        <w:t>[57]</w:t>
      </w:r>
      <w:r>
        <w:rPr>
          <w:lang w:val="en-US"/>
        </w:rPr>
        <w:t xml:space="preserve">, ISO 14971:2019 </w:t>
      </w:r>
      <w:r>
        <w:rPr>
          <w:sz w:val="18"/>
          <w:szCs w:val="18"/>
          <w:vertAlign w:val="subscript"/>
          <w:lang w:val="en-US"/>
        </w:rPr>
        <w:t>[58]</w:t>
      </w:r>
      <w:r>
        <w:rPr>
          <w:lang w:val="en-US"/>
        </w:rPr>
        <w:t xml:space="preserve">, and ISO 15189:2022, which sets requirements for medical laboratories </w:t>
      </w:r>
      <w:r>
        <w:rPr>
          <w:sz w:val="18"/>
          <w:szCs w:val="18"/>
          <w:vertAlign w:val="subscript"/>
          <w:lang w:val="en-US"/>
        </w:rPr>
        <w:t>[59]</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rPr>
          <w:lang w:val="en-US"/>
        </w:rPr>
      </w:pPr>
      <w:bookmarkStart w:id="169" w:name="_5um8v1mtu07c" w:colFirst="0" w:colLast="0"/>
      <w:bookmarkStart w:id="170" w:name="_Toc243947261"/>
      <w:bookmarkEnd w:id="169"/>
      <w:r>
        <w:rPr>
          <w:lang w:val="en-US"/>
        </w:rPr>
        <w:t>2.5.2 Development of the operational instruments</w:t>
      </w:r>
      <w:bookmarkEnd w:id="170"/>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 xml:space="preserve">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t>
      </w:r>
      <w:r>
        <w:rPr>
          <w:sz w:val="18"/>
          <w:szCs w:val="18"/>
          <w:vertAlign w:val="subscript"/>
          <w:lang w:val="en-US"/>
        </w:rPr>
        <w:t>[5, 6]</w:t>
      </w:r>
      <w:r>
        <w:rPr>
          <w:lang w:val="en-US"/>
        </w:rPr>
        <w:t>.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w:t>
      </w:r>
    </w:p>
    <w:p w14:paraId="46CFB69E" w14:textId="70884EB7" w:rsidR="005B6E92" w:rsidRPr="00933DA5" w:rsidRDefault="00363464">
      <w:pPr>
        <w:pStyle w:val="Ttulo1"/>
        <w:rPr>
          <w:lang w:val="en-US"/>
        </w:rPr>
      </w:pPr>
      <w:bookmarkStart w:id="171" w:name="_nrl58oclocfi" w:colFirst="0" w:colLast="0"/>
      <w:bookmarkStart w:id="172" w:name="_r3f445r8uu32" w:colFirst="0" w:colLast="0"/>
      <w:bookmarkStart w:id="173" w:name="_Toc241922300"/>
      <w:bookmarkStart w:id="174" w:name="_Toc243947262"/>
      <w:bookmarkEnd w:id="171"/>
      <w:bookmarkEnd w:id="172"/>
      <w:r>
        <w:rPr>
          <w:lang w:val="en-US"/>
        </w:rPr>
        <w:t>3. Identified Gaps and Framework Design Requirements</w:t>
      </w:r>
      <w:bookmarkEnd w:id="173"/>
      <w:bookmarkEnd w:id="174"/>
    </w:p>
    <w:p w14:paraId="299DAE75" w14:textId="77777777" w:rsidR="005B6E92" w:rsidRPr="00933DA5" w:rsidRDefault="00363464">
      <w:pPr>
        <w:pStyle w:val="Ttulo2"/>
        <w:rPr>
          <w:lang w:val="en-US"/>
        </w:rPr>
      </w:pPr>
      <w:bookmarkStart w:id="175" w:name="_ac35ucexuc5x" w:colFirst="0" w:colLast="0"/>
      <w:bookmarkStart w:id="176" w:name="_Toc241922301"/>
      <w:bookmarkStart w:id="177" w:name="_Toc243947263"/>
      <w:bookmarkEnd w:id="175"/>
      <w:r>
        <w:rPr>
          <w:lang w:val="en-US"/>
        </w:rPr>
        <w:t>3.1 Scope and analytical basis of this chapter</w:t>
      </w:r>
      <w:bookmarkEnd w:id="176"/>
      <w:bookmarkEnd w:id="177"/>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rPr>
          <w:lang w:val="en-US"/>
        </w:rPr>
      </w:pPr>
      <w:bookmarkStart w:id="178" w:name="_h6zv8kyq5hn3" w:colFirst="0" w:colLast="0"/>
      <w:bookmarkStart w:id="179" w:name="_Toc241922302"/>
      <w:bookmarkStart w:id="180" w:name="_Toc243947264"/>
      <w:bookmarkEnd w:id="178"/>
      <w:r>
        <w:rPr>
          <w:lang w:val="en-US"/>
        </w:rPr>
        <w:t>3.2 The regulatory and operational gap</w:t>
      </w:r>
      <w:bookmarkEnd w:id="179"/>
      <w:bookmarkEnd w:id="180"/>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 xml:space="preserve">The comparison recorded 251 entries, 100 from ICH E6(R3), 90 from ISO 14155:2026, and 61 from the MDR, which we grouped into 43 themes. </w:t>
      </w:r>
      <w:r>
        <w:rPr>
          <w:lang w:val="en-US"/>
        </w:rPr>
        <w:t>ICH E6(R3) gives the investigator or the site a duty in 55% of its entries and ISO 14155:2026 in 59%, while only 25% of the MDR entries reach the site.</w:t>
      </w:r>
      <w:r>
        <w:rPr>
          <w:lang w:val="en-US"/>
        </w:rPr>
        <w:t xml:space="preserv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w:t>
      </w:r>
      <w:r>
        <w:rPr>
          <w:lang w:val="en-US"/>
        </w:rPr>
        <w:t>Safety reporting shows how far apart the instruments can be while they agree on the principle.</w:t>
      </w:r>
      <w:r>
        <w:rPr>
          <w:lang w:val="en-US"/>
        </w:rPr>
        <w:t xml:space="preserve"> They agree on expedited reporting, but they differ in two ways that matter in practice. ISO 14155 sets no fixed reporting deadline for the investigator. It </w:t>
      </w:r>
      <w:r>
        <w:rPr>
          <w:lang w:val="en-US"/>
        </w:rPr>
        <w:t>requires reporting to the sponsor without unjustified delay and leaves the operative timeline to the Clinical Investigation Plan (CIP). ICH E6(R3) and MDR Annex XV specify timelines, and those timelines bind different parties.</w:t>
      </w:r>
      <w:r>
        <w:rPr>
          <w:lang w:val="en-US"/>
        </w:rPr>
        <w:t xml:space="preserve"> </w:t>
      </w:r>
    </w:p>
    <w:p w14:paraId="44C3459F" w14:textId="77777777" w:rsidR="000004F2" w:rsidRDefault="00363464">
      <w:r>
        <w:rPr>
          <w:lang w:val="en-US"/>
        </w:rPr>
        <w:t xml:space="preserve">The instruments also differ in how they classify an event. </w:t>
      </w:r>
      <w:r>
        <w:rPr>
          <w:lang w:val="en-US"/>
        </w:rPr>
        <w:t xml:space="preserve">Since the 2026 update, ISO 14155:2026 separates events related to the investigational device from events related to procedures required by the CIP that fall outside routine clinical practice, and the two are assessed separately </w:t>
      </w:r>
      <w:r>
        <w:rPr>
          <w:sz w:val="18"/>
          <w:szCs w:val="18"/>
          <w:vertAlign w:val="subscript"/>
          <w:lang w:val="en-US"/>
        </w:rPr>
        <w:t>[8]</w:t>
      </w:r>
      <w:r>
        <w:rPr>
          <w:lang w:val="en-US"/>
        </w:rPr>
        <w:t>.</w:t>
      </w:r>
      <w:r>
        <w:rPr>
          <w:lang w:val="en-US"/>
        </w:rPr>
        <w:t xml:space="preserve"> It also establishes central review and classification methods for safety or effectiveness endpoints, including serious adverse device effects (SADEs) and device deficiencies (DDs), when a Clinical Events Committee (CEC) is used </w:t>
      </w:r>
      <w:r>
        <w:rPr>
          <w:sz w:val="18"/>
          <w:szCs w:val="18"/>
          <w:vertAlign w:val="subscript"/>
          <w:lang w:val="en-US"/>
        </w:rPr>
        <w:t>[8]</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w:t>
      </w:r>
      <w:r>
        <w:rPr>
          <w:lang w:val="en-US"/>
        </w:rPr>
        <w:t xml:space="preserve">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 [6, 8, 10].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pPr>
        <w:pStyle w:val="Tablecaption"/>
      </w:pPr>
      <w:r>
        <w:rPr>
          <w:b/>
        </w:rPr>
        <w:t>Table 3.1.</w:t>
      </w:r>
      <w:r>
        <w:t xml:space="preserve"> Site-level regulatory gaps identified in the clause-by-clause comparison of ICH E6(R3), ISO 14155:2026, and MDR Annex XV. CAPA, corrective and preventive action; CIP, Clinical Investigation Plan; PI, principal investigator; QMS, quality management system.</w:t>
      </w:r>
    </w:p>
    <w:p w14:paraId="2D123E31" w14:textId="7CCAB5B2" w:rsidR="00D312FB" w:rsidRPr="00933DA5" w:rsidRDefault="000004F2" w:rsidP="00A263F8">
      <w:pPr>
        <w:rPr>
          <w:lang w:val="en-US"/>
        </w:rPr>
        <w:ind w:firstLine="0"/>
        <w:jc w:val="center"/>
      </w:pPr>
      <w:bookmarkStart w:id="191" w:name="bm_tbl_31"/>
      <w:r>
        <w:rPr>
          <w:noProof/>
          <w:lang w:val="en-US"/>
        </w:rPr>
      </w:r>
      <w:bookmarkEnd w:id="191"/>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 xml:space="preserve">ICH E6(R3) and ISO 14155:2026 already give the investigator several quality duties, such as supervising delegated activities and making sure that staff are qualified and resources adequate [6, 8]. ICH E6(R3) also asks the investigator, together with the sponsor, to implement proportionate processes for the data of the trial (Section 4) </w:t>
      </w:r>
      <w:r>
        <w:rPr>
          <w:sz w:val="18"/>
          <w:szCs w:val="18"/>
          <w:vertAlign w:val="subscript"/>
          <w:lang w:val="en-US"/>
        </w:rPr>
        <w:t>[6]</w:t>
      </w:r>
      <w:r>
        <w:rPr>
          <w:lang w:val="en-US"/>
        </w:rPr>
        <w:t>.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 xml:space="preserve">The instruments require the risks of an investigation to be assessed and reviewed throughout its conduct, and they assign this cycle to the sponsor [6, 8].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w:t>
      </w:r>
      <w:r>
        <w:rPr>
          <w:lang w:val="en-US"/>
        </w:rPr>
        <w:t>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followed during conduct, since it changes along the learning curve, and it reports that trials rarely do so [35–37, 39]. </w:t>
      </w:r>
      <w:r>
        <w:rPr>
          <w:lang w:val="en-US"/>
        </w:rPr>
        <w:t>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 [42–44], standardized approaches remain uncommon [45], and sites experience risk-based monitoring as an external requirement over which they have little control [46, 47]. Part of the data that matter most is also generated at the point of care, where external oversight cannot see it in time (Section 3.4.3).</w:t>
      </w:r>
    </w:p>
    <w:p w14:paraId="0D64058E" w14:textId="5ECE21E6" w:rsidR="005B6E92" w:rsidRPr="00933DA5" w:rsidRDefault="00363464">
      <w:pPr>
        <w:pStyle w:val="Ttulo3"/>
        <w:rPr>
          <w:lang w:val="en-US"/>
        </w:rPr>
      </w:pPr>
      <w:bookmarkStart w:id="198" w:name="_tnrlacmshiop" w:colFirst="0" w:colLast="0"/>
      <w:bookmarkStart w:id="199" w:name="_Toc243947265"/>
      <w:bookmarkEnd w:id="198"/>
      <w:r>
        <w:rPr>
          <w:lang w:val="en-US"/>
        </w:rPr>
        <w:t xml:space="preserve">3.2.1 </w:t>
      </w:r>
      <w:r w:rsidR="00C00310" w:rsidRPr="00C00310">
        <w:rPr>
          <w:lang w:val="en-US"/>
        </w:rPr>
        <w:t>Site conduct and the clinical evidence of the device</w:t>
      </w:r>
      <w:bookmarkEnd w:id="199"/>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 [10].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 xml:space="preserve">The manufacturer works under a documented quality system, set out in ISO 13485:2016 with corrective and preventive action, and ISO 14971:2019 adds a documented cycle for managing device risk [57, 58]. A medical laboratory sits outside this chain but also produces </w:t>
      </w:r>
      <w:r w:rsidRPr="00F313A7">
        <w:rPr>
          <w:lang w:val="en-US"/>
        </w:rPr>
        <w:t>results on which others base decisions, and ISO 15189:2022 gives it an equivalent system [59]. ISO 14155:2026 gives the investigational site nothing similar, since its Clause 9.1 places clinical quality management on the sponsor and Clause 10, on the responsibilities of the principal investigator (PI), sets entry qualifications without asking for an ongoing local system [8]. The fourth edition enlarged the sponsor’s side further, with risks arising from investigation processes and a provision on the CEC [8]. Of the two organizations that produce the evidence behind the CER, only the site works without a quality system of its own.</w:t>
      </w:r>
    </w:p>
    <w:p w14:paraId="6F23C91C" w14:textId="77777777" w:rsidR="00112ECB" w:rsidRDefault="00363464">
      <w:pPr>
        <w:rPr/>
      </w:pPr>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rPr>
          <w:lang w:val="en-US"/>
        </w:rPr>
      </w:pPr>
      <w:bookmarkStart w:id="202" w:name="_w88djpaup7ve" w:colFirst="0" w:colLast="0"/>
      <w:bookmarkStart w:id="203" w:name="_Toc241922303"/>
      <w:bookmarkStart w:id="204" w:name="_Toc243947266"/>
      <w:bookmarkEnd w:id="202"/>
      <w:r>
        <w:rPr>
          <w:lang w:val="en-US"/>
        </w:rPr>
        <w:t>3.3 Site-level Critical-to-Quality domains</w:t>
      </w:r>
      <w:bookmarkEnd w:id="203"/>
      <w:bookmarkEnd w:id="204"/>
    </w:p>
    <w:p w14:paraId="6CF11981" w14:textId="558F5498" w:rsidR="00594607" w:rsidRPr="00933DA5" w:rsidRDefault="00594607" w:rsidP="00D01AB7">
      <w:pPr>
        <w:rPr>
          <w:lang w:val="en-US"/>
        </w:rPr>
      </w:pPr>
      <w:r w:rsidRPr="00594607">
        <w:rPr>
          <w:lang w:val="en-US"/>
        </w:rPr>
        <w:t xml:space="preserve">ICH E8(R1) and ICH E6(R3) ask the sponsor to identify the CtQ factors of each study when it designs the protocol </w:t>
      </w:r>
      <w:r w:rsidRPr="00A67B5D">
        <w:rPr>
          <w:sz w:val="18"/>
          <w:szCs w:val="18"/>
          <w:vertAlign w:val="subscript"/>
          <w:lang w:val="en-US"/>
        </w:rPr>
        <w:t>[5, 6].</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w:t>
      </w:r>
      <w:r>
        <w:rPr>
          <w:lang w:val="en-US"/>
        </w:rPr>
        <w:t xml:space="preserve"> </w:t>
      </w:r>
      <w:r>
        <w:rPr>
          <w:lang w:val="en-US"/>
        </w:rPr>
        <w:t>Randomization and blinding are one such case because the sponsor sets the allocation sequence and the masking scheme, and a failure to follow them at the site is a protocol deviation, which is already covered.</w:t>
      </w:r>
      <w:r>
        <w:rPr>
          <w:lang w:val="en-US"/>
        </w:rPr>
        <w:t xml:space="preserve"> Of the 28 remaining themes, 22 are requirements, stating what the site has to protect, and 6 are controls, stating how quality is kept. </w:t>
      </w:r>
      <w:r>
        <w:rPr>
          <w:lang w:val="en-US"/>
        </w:rPr>
        <w:t>Only the requirements were grouped, since a control applies across every area of the site and would have produced overlapping domains.</w:t>
      </w:r>
      <w:r>
        <w:rPr>
          <w:lang w:val="en-US"/>
        </w:rPr>
        <w:t xml:space="preserve"> </w:t>
      </w:r>
      <w:r>
        <w:rPr>
          <w:lang w:val="en-US"/>
        </w:rPr>
        <w:t>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w:t>
      </w:r>
      <w:r>
        <w:rPr>
          <w:lang w:val="en-US"/>
        </w:rPr>
        <w:t xml:space="preserve">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 </w:t>
      </w:r>
      <w:r>
        <w:rPr>
          <w:sz w:val="18"/>
          <w:szCs w:val="18"/>
          <w:vertAlign w:val="subscript"/>
          <w:lang w:val="en-US"/>
        </w:rPr>
        <w:t>[8, 10]</w:t>
      </w:r>
      <w:r>
        <w:rPr>
          <w:lang w:val="en-US"/>
        </w:rPr>
        <w:t xml:space="preserve">. </w:t>
      </w:r>
      <w:r>
        <w:rPr>
          <w:lang w:val="en-US"/>
        </w:rPr>
        <w:t xml:space="preserve">These requirements entered because the work they describe takes place at the site and because the literature reviewed shows that it influences the results </w:t>
      </w:r>
      <w:r>
        <w:rPr>
          <w:sz w:val="18"/>
          <w:szCs w:val="18"/>
          <w:vertAlign w:val="subscript"/>
          <w:lang w:val="en-US"/>
        </w:rPr>
        <w:t>[34, 60]</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 [8, 10].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 [61, 62].</w:t>
      </w:r>
    </w:p>
    <w:p w14:paraId="3FF46D00" w14:textId="7E6B59A9" w:rsidR="00292BAB" w:rsidRDefault="00363464">
      <w:r>
        <w:rPr>
          <w:lang w:val="en-US"/>
        </w:rPr>
        <w:t xml:space="preserve">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 </w:t>
      </w:r>
      <w:r>
        <w:rPr>
          <w:sz w:val="18"/>
          <w:szCs w:val="18"/>
          <w:vertAlign w:val="subscript"/>
          <w:lang w:val="en-US"/>
        </w:rPr>
        <w:t>[34]</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227" w:name="_tqbk58qcjhlh" w:colFirst="0" w:colLast="0"/>
      <w:bookmarkStart w:id="228" w:name="_kz8qvq1s11ng" w:colFirst="0" w:colLast="0"/>
      <w:bookmarkEnd w:id="227"/>
      <w:bookmarkEnd w:id="228"/>
    </w:p>
    <w:p>
      <w:pPr>
        <w:pStyle w:val="Tablecaption"/>
      </w:pPr>
      <w:r>
        <w:rPr>
          <w:b/>
        </w:rPr>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p>
    <w:p w14:paraId="45AC124A" w14:textId="77777777" w:rsidR="005B6E92" w:rsidRPr="00933DA5" w:rsidRDefault="00D312FB" w:rsidP="00D312FB">
      <w:pPr>
        <w:spacing w:line="276" w:lineRule="auto"/>
        <w:rPr>
          <w:i/>
          <w:iCs/>
          <w:sz w:val="20"/>
          <w:szCs w:val="20"/>
          <w:lang w:val="en-US"/>
        </w:rPr>
        <w:sectPr w:rsidR="005B6E92" w:rsidRPr="00933DA5">
          <w:pgSz w:w="16834" w:h="11909" w:orient="landscape"/>
          <w:pgMar w:top="850" w:right="850" w:bottom="850" w:left="850" w:header="720" w:footer="720" w:gutter="0"/>
          <w:cols w:space="720"/>
        </w:sectPr>
        <w:ind w:firstLine="0"/>
        <w:jc w:val="center"/>
      </w:pPr>
      <w:bookmarkStart w:id="229" w:name="bm_tbl_32"/>
      <w:bookmarkEnd w:id="229"/>
      <w:r>
        <w:rPr>
          <w:noProof/>
          <w:lang w:val="en-US"/>
        </w:rPr>
      </w:r>
      <w:bookmarkStart w:id="230" w:name="_t2njdcvp51oj" w:colFirst="0" w:colLast="0"/>
      <w:bookmarkEnd w:id="230"/>
    </w:p>
    <w:p w14:paraId="1642FF99" w14:textId="77777777" w:rsidR="00F313A7" w:rsidRPr="00933DA5" w:rsidRDefault="00F313A7" w:rsidP="00F313A7">
      <w:pPr>
        <w:pStyle w:val="Ttulo2"/>
        <w:rPr>
          <w:lang w:val="en-US"/>
        </w:rPr>
      </w:pPr>
      <w:bookmarkStart w:id="233" w:name="_1nmovsuwcgg3" w:colFirst="0" w:colLast="0"/>
      <w:bookmarkStart w:id="234" w:name="_jz9nvk12prxb" w:colFirst="0" w:colLast="0"/>
      <w:bookmarkStart w:id="235" w:name="_Toc241922304"/>
      <w:bookmarkStart w:id="236" w:name="_Toc243947267"/>
      <w:bookmarkEnd w:id="233"/>
      <w:bookmarkEnd w:id="234"/>
      <w:r>
        <w:rPr>
          <w:lang w:val="en-US"/>
        </w:rPr>
        <w:t>3.4 Operational conditions constraining the design</w:t>
      </w:r>
      <w:bookmarkEnd w:id="235"/>
      <w:bookmarkEnd w:id="236"/>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As already explained in Section 1.2, surgical device investigations are conducted under conditions that a site-level framework has to take into consideration.</w:t>
      </w:r>
      <w:r>
        <w:rPr>
          <w:lang w:val="en-US"/>
        </w:rPr>
        <w:t xml:space="preserve"> Six main conditions apply in total. </w:t>
      </w:r>
      <w:r>
        <w:rPr>
          <w:lang w:val="en-US"/>
        </w:rPr>
        <w:t>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w:t>
      </w:r>
      <w:r>
        <w:rPr>
          <w:lang w:val="en-US"/>
        </w:rPr>
        <w:t xml:space="preserve"> </w:t>
      </w:r>
    </w:p>
    <w:p w14:paraId="75467B9E" w14:textId="5E6C2698" w:rsidR="005B6E92" w:rsidRPr="00933DA5" w:rsidRDefault="00363464" w:rsidP="00D312FB">
      <w:pPr>
        <w:pStyle w:val="Ttulo3"/>
        <w:rPr>
          <w:lang w:val="en-US"/>
        </w:rPr>
      </w:pPr>
      <w:bookmarkStart w:id="241" w:name="_Toc243947268"/>
      <w:r>
        <w:rPr>
          <w:lang w:val="en-US"/>
        </w:rPr>
        <w:t>3.4.1 Design consequences of the five structural conditions</w:t>
      </w:r>
      <w:bookmarkEnd w:id="241"/>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 xml:space="preserve">a transcription error can. The European Medicines Agency (EMA) has described poor risk identification and mitigation as producing a reactive approach based mainly on corrective action </w:t>
      </w:r>
      <w:r>
        <w:rPr>
          <w:sz w:val="18"/>
          <w:szCs w:val="18"/>
          <w:vertAlign w:val="sub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 xml:space="preserve">and the CTTI CtQ principles also place attention on prevention before conduct </w:t>
      </w:r>
      <w:r>
        <w:rPr>
          <w:sz w:val="18"/>
          <w:szCs w:val="18"/>
          <w:vertAlign w:val="subscript"/>
          <w:lang w:val="en-US"/>
        </w:rPr>
        <w:t>[60]</w:t>
      </w:r>
      <w:r>
        <w:rPr>
          <w:lang w:val="en-US"/>
        </w:rPr>
        <w:t xml:space="preserve">. </w:t>
      </w:r>
      <w:r>
        <w:rPr>
          <w:lang w:val="en-US"/>
        </w:rPr>
        <w:t>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w:t>
      </w:r>
      <w:r w:rsidRPr="00B7282B">
        <w:rPr>
          <w:b/>
          <w:bCs/>
          <w:lang w:val="en-US"/>
        </w:rPr>
        <w:t>Operator dependence.</w:t>
      </w:r>
      <w:r>
        <w:rPr>
          <w:lang w:val="en-US"/>
        </w:rPr>
        <w:t xml:space="preserve"> </w:t>
      </w:r>
      <w:r>
        <w:rPr>
          <w:lang w:val="en-US"/>
        </w:rPr>
        <w:t xml:space="preserve">In device investigations, results depend on the device and just as much on the person and technique used to implant it </w:t>
      </w:r>
      <w:r>
        <w:rPr>
          <w:sz w:val="18"/>
          <w:szCs w:val="18"/>
          <w:vertAlign w:val="subscript"/>
          <w:lang w:val="en-US"/>
        </w:rPr>
        <w:t>[19, 63]</w:t>
      </w:r>
      <w:r>
        <w:rPr>
          <w:lang w:val="en-US"/>
        </w:rPr>
        <w:t>.</w:t>
      </w:r>
      <w:r>
        <w:rPr>
          <w:lang w:val="en-US"/>
        </w:rPr>
        <w:t xml:space="preserve"> Requirements for surgeon qualification and adequate training with the specific device are already established</w:t>
      </w:r>
      <w:r w:rsidR="004152D5">
        <w:rPr>
          <w:lang w:val="en-US"/>
        </w:rPr>
        <w:t xml:space="preserve"> by the instruments, but o</w:t>
      </w:r>
      <w:r>
        <w:rPr>
          <w:lang w:val="en-US"/>
        </w:rPr>
        <w:t xml:space="preserve">ther sources of variation also require control, including learning-curve effects, differences among surgeons in positioning and soft-tissue management, and intraoperative judgment. The study by Blencowe et al. </w:t>
      </w:r>
      <w:r>
        <w:rPr>
          <w:sz w:val="18"/>
          <w:szCs w:val="18"/>
          <w:vertAlign w:val="subscript"/>
          <w:lang w:val="en-US"/>
        </w:rPr>
        <w:t>[64]</w:t>
      </w:r>
      <w:r>
        <w:rPr>
          <w:lang w:val="en-US"/>
        </w:rPr>
        <w:t xml:space="preserve"> provides </w:t>
      </w:r>
      <w:r w:rsidR="004152D5">
        <w:rPr>
          <w:lang w:val="en-US"/>
        </w:rPr>
        <w:t xml:space="preserve">us one method to evaluate this effect by setting </w:t>
      </w:r>
      <w:r>
        <w:rPr>
          <w:lang w:val="en-US"/>
        </w:rPr>
        <w:t>standards for surgical intervention delivery before the trial and monitor</w:t>
      </w:r>
      <w:r w:rsidR="004152D5">
        <w:rPr>
          <w:lang w:val="en-US"/>
        </w:rPr>
        <w:t xml:space="preserve"> it</w:t>
      </w:r>
      <w:r>
        <w:rPr>
          <w:lang w:val="en-US"/>
        </w:rPr>
        <w:t xml:space="preserve"> during conduct </w:t>
      </w:r>
      <w:r>
        <w:rPr>
          <w:lang w:val="en-US"/>
        </w:rPr>
        <w:t xml:space="preserve">through forms that capture deviations. </w:t>
      </w:r>
      <w:r>
        <w:rPr>
          <w:lang w:val="en-US"/>
        </w:rPr>
        <w:t>Quality management therefore has to characterize this variation without trying to remove it, because removing it would mean removing surgical judgment itself.</w:t>
      </w:r>
      <w:r>
        <w:rPr>
          <w:lang w:val="en-US"/>
        </w:rPr>
        <w:t xml:space="preserve"> The consequence for the design is that the framework needs the operator as a unit of analysis, alongside the participant and the </w:t>
      </w:r>
      <w:r w:rsidR="004152D5">
        <w:rPr>
          <w:lang w:val="en-US"/>
        </w:rPr>
        <w:t>device</w:t>
      </w:r>
      <w:r>
        <w:rPr>
          <w:lang w:val="en-US"/>
        </w:rPr>
        <w:t>.</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w:t>
      </w:r>
      <w:r>
        <w:rPr>
          <w:lang w:val="en-US"/>
        </w:rPr>
        <w:t xml:space="preserve">Pharmaceutical and device trials both require records linking batch or serial numbers to participants, but the requirements differ in how long the link must be kept </w:t>
      </w:r>
      <w:r>
        <w:rPr>
          <w:sz w:val="18"/>
          <w:szCs w:val="18"/>
          <w:vertAlign w:val="subscript"/>
          <w:lang w:val="en-US"/>
        </w:rPr>
        <w:t>[6, 8]</w:t>
      </w:r>
      <w:r>
        <w:rPr>
          <w:lang w:val="en-US"/>
        </w:rPr>
        <w:t>.</w:t>
      </w:r>
      <w:r>
        <w:rPr>
          <w:lang w:val="en-US"/>
        </w:rPr>
        <w:t xml:space="preserve">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 xml:space="preserve">An implanted device remains in the participant for years, so the MDR requires post-investigation follow-up that covers traceability, and the records must also cover any return or explantation </w:t>
      </w:r>
      <w:r>
        <w:rPr>
          <w:sz w:val="18"/>
          <w:szCs w:val="18"/>
          <w:vertAlign w:val="subscript"/>
          <w:lang w:val="en-US"/>
        </w:rPr>
        <w:t>[10]</w:t>
      </w:r>
      <w:r>
        <w:rPr>
          <w:lang w:val="en-US"/>
        </w:rPr>
        <w:t>.</w:t>
      </w:r>
      <w:r>
        <w:rPr>
          <w:lang w:val="en-US"/>
        </w:rPr>
        <w:t xml:space="preserve"> </w:t>
      </w:r>
      <w:r>
        <w:rPr>
          <w:lang w:val="en-US"/>
        </w:rPr>
        <w:t>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w:t>
      </w:r>
      <w:r w:rsidRPr="00B7282B">
        <w:rPr>
          <w:b/>
          <w:bCs/>
          <w:lang w:val="en-US"/>
        </w:rPr>
        <w:t>The operational weight of follow-up.</w:t>
      </w:r>
      <w:r>
        <w:rPr>
          <w:lang w:val="en-US"/>
        </w:rPr>
        <w:t xml:space="preserve"> Long follow-up is not unique to surgical trials, but the measurements involved </w:t>
      </w:r>
      <w:r w:rsidR="00987F89">
        <w:rPr>
          <w:lang w:val="en-US"/>
        </w:rPr>
        <w:t xml:space="preserve">like </w:t>
      </w:r>
      <w:r>
        <w:rPr>
          <w:lang w:val="en-US"/>
        </w:rPr>
        <w:t xml:space="preserve">ROM and radiographic assessment of implant position require the participant to be physically present, while PROs require consistent collection at the specified time points. </w:t>
      </w:r>
      <w:r w:rsidR="009C1B46" w:rsidRPr="009C1B46">
        <w:rPr>
          <w:lang w:val="en-US"/>
        </w:rPr>
        <w:t xml:space="preserve">Assessments vary less when the same procedure is used at every visit and, where the protocol provides for it, when an independent reviewer reads the results centrally </w:t>
      </w:r>
      <w:r w:rsidR="009C1B46">
        <w:rPr>
          <w:sz w:val="18"/>
          <w:szCs w:val="18"/>
          <w:vertAlign w:val="subscript"/>
          <w:lang w:val="en-US"/>
        </w:rPr>
        <w:t>[25, 65]</w:t>
      </w:r>
      <w:r w:rsidR="009C1B46">
        <w:rPr>
          <w:lang w:val="en-US"/>
        </w:rPr>
        <w:t xml:space="preserve">. </w:t>
      </w:r>
      <w:r w:rsidR="009C1B46" w:rsidRPr="009C1B46">
        <w:rPr>
          <w:lang w:val="en-US"/>
        </w:rPr>
        <w:t>None of the three instruments asks for the same assessor at every visit, so keeping assessment consistent over the years of follow-up falls to the site, and images need the same acquisition procedure and quality control at every time point for the same reason</w:t>
      </w:r>
      <w:r>
        <w:rPr>
          <w:lang w:val="en-US"/>
        </w:rPr>
        <w:t xml:space="preserve"> </w:t>
      </w:r>
      <w:r>
        <w:rPr>
          <w:sz w:val="18"/>
          <w:szCs w:val="18"/>
          <w:vertAlign w:val="subscript"/>
          <w:lang w:val="en-US"/>
        </w:rPr>
        <w:t>[61, 66]</w:t>
      </w:r>
      <w:r>
        <w:rPr>
          <w:lang w:val="en-US"/>
        </w:rPr>
        <w:t xml:space="preserve">. This raises the cost of every visit and increases the risk of attrition over the years between surgery and the late assessments. </w:t>
      </w:r>
      <w:r w:rsidR="009C1B46">
        <w:rPr>
          <w:lang w:val="en-US"/>
        </w:rPr>
        <w:t>Orthopedic</w:t>
      </w:r>
      <w:r>
        <w:rPr>
          <w:lang w:val="en-US"/>
        </w:rPr>
        <w:t xml:space="preserve"> studies with at least three years of follow-up reported 14.8% loss to follow-up, compared with 9.8% in studies with shorter follow-up </w:t>
      </w:r>
      <w:r>
        <w:rPr>
          <w:sz w:val="18"/>
          <w:szCs w:val="18"/>
          <w:vertAlign w:val="subscript"/>
          <w:lang w:val="en-US"/>
        </w:rPr>
        <w:t>[23]</w:t>
      </w:r>
      <w:r>
        <w:rPr>
          <w:lang w:val="en-US"/>
        </w:rPr>
        <w:t xml:space="preserve">, and one shoulder arthroplasty cohort reported 34.3% loss by the seventh year </w:t>
      </w:r>
      <w:r>
        <w:rPr>
          <w:sz w:val="18"/>
          <w:szCs w:val="18"/>
          <w:vertAlign w:val="subscript"/>
          <w:lang w:val="en-US"/>
        </w:rPr>
        <w:t>[24]</w:t>
      </w:r>
      <w:r>
        <w:rPr>
          <w:lang w:val="en-US"/>
        </w:rPr>
        <w:t>.</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w:t>
      </w:r>
      <w:r w:rsidRPr="00B7282B">
        <w:rPr>
          <w:b/>
          <w:bCs/>
          <w:lang w:val="en-US"/>
        </w:rPr>
        <w:t>Limited classification reliability.</w:t>
      </w:r>
      <w:r>
        <w:rPr>
          <w:lang w:val="en-US"/>
        </w:rPr>
        <w:t xml:space="preserve"> Shoulder investigations rely on radiological and clinical classifications that in many cases show only fair-to-moderate inter-observer reliability </w:t>
      </w:r>
      <w:r>
        <w:rPr>
          <w:sz w:val="18"/>
          <w:szCs w:val="18"/>
          <w:vertAlign w:val="subscript"/>
          <w:lang w:val="en-US"/>
        </w:rPr>
        <w:t>[67]</w:t>
      </w:r>
      <w:r>
        <w:rPr>
          <w:lang w:val="en-US"/>
        </w:rPr>
        <w:t xml:space="preserve">. Widely used classifications for proximal humeral fractures have been reported with inter-observer kappa coefficients in the fair range, even when three-dimensional models reconstructed from computed tomography (CT) data are used </w:t>
      </w:r>
      <w:r>
        <w:rPr>
          <w:sz w:val="18"/>
          <w:szCs w:val="18"/>
          <w:vertAlign w:val="subscript"/>
          <w:lang w:val="en-US"/>
        </w:rPr>
        <w:t>[68]</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w:t>
      </w:r>
      <w:r>
        <w:rPr>
          <w:lang w:val="en-US"/>
        </w:rPr>
        <w:t xml:space="preserve">That inconsistency was substantial enough to motivate core outcome sets for shoulder disorders </w:t>
      </w:r>
      <w:r>
        <w:rPr>
          <w:sz w:val="18"/>
          <w:szCs w:val="18"/>
          <w:vertAlign w:val="subscript"/>
          <w:lang w:val="en-US"/>
        </w:rPr>
        <w:t>[69–71]</w:t>
      </w:r>
      <w:r>
        <w:rPr>
          <w:lang w:val="en-US"/>
        </w:rPr>
        <w:t>. The framework therefore has to control the sources of this variance that lie at the site, such as assessor qualification and the acquisition procedure.</w:t>
      </w:r>
    </w:p>
    <w:p w14:paraId="3AD370BC" w14:textId="77777777" w:rsidR="005B6E92" w:rsidRPr="00933DA5" w:rsidRDefault="00363464">
      <w:pPr>
        <w:pStyle w:val="Ttulo3"/>
        <w:rPr>
          <w:lang w:val="en-US"/>
        </w:rPr>
      </w:pPr>
      <w:bookmarkStart w:id="256" w:name="_5w42kxto95wm" w:colFirst="0" w:colLast="0"/>
      <w:bookmarkStart w:id="257" w:name="_Toc243947269"/>
      <w:bookmarkEnd w:id="256"/>
      <w:r>
        <w:rPr>
          <w:lang w:val="en-US"/>
        </w:rPr>
        <w:t>3.4.2 Operator-dependent variability as a design constraint</w:t>
      </w:r>
      <w:bookmarkEnd w:id="257"/>
    </w:p>
    <w:p w14:paraId="48852DAF" w14:textId="77777777" w:rsidR="001275F2" w:rsidRPr="001275F2" w:rsidRDefault="001275F2" w:rsidP="001275F2">
      <w:pPr>
        <w:rPr>
          <w:lang w:val="en-US"/>
        </w:rPr>
      </w:pPr>
      <w:r w:rsidRPr="001275F2">
        <w:rPr>
          <w:lang w:val="en-US"/>
        </w:rPr>
        <w:t>Operator dependence produces clustering</w:t>
      </w:r>
      <w:r>
        <w:rPr>
          <w:lang w:val="en-US"/>
        </w:rPr>
        <w:t xml:space="preserve"> </w:t>
      </w:r>
      <w:r>
        <w:rPr>
          <w:sz w:val="18"/>
          <w:szCs w:val="18"/>
          <w:vertAlign w:val="subscript"/>
          <w:lang w:val="en-US"/>
        </w:rPr>
        <w:t>[72]</w:t>
      </w:r>
      <w:r>
        <w:rPr>
          <w:lang w:val="en-US"/>
        </w:rPr>
        <w:t xml:space="preserve">. </w:t>
      </w:r>
      <w:r w:rsidRPr="001275F2">
        <w:rPr>
          <w:lang w:val="en-US"/>
        </w:rPr>
        <w:t xml:space="preserve">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 </w:t>
      </w:r>
      <w:r>
        <w:rPr>
          <w:sz w:val="18"/>
          <w:szCs w:val="18"/>
          <w:vertAlign w:val="subscript"/>
          <w:lang w:val="en-US"/>
        </w:rPr>
        <w:t>[73]</w:t>
      </w:r>
      <w:r>
        <w:rPr>
          <w:lang w:val="en-US"/>
        </w:rPr>
        <w:t xml:space="preserve">, </w:t>
      </w:r>
      <w:r w:rsidRPr="001275F2">
        <w:rPr>
          <w:lang w:val="en-US"/>
        </w:rPr>
        <w:t xml:space="preserve">yet only 21.5% of eligible orthopedic randomized trials with several centers or treatment providers used an analysis that accounted for it </w:t>
      </w:r>
      <w:r>
        <w:rPr>
          <w:sz w:val="18"/>
          <w:szCs w:val="18"/>
          <w:vertAlign w:val="subscript"/>
          <w:lang w:val="en-US"/>
        </w:rPr>
        <w:t>[74]</w:t>
      </w:r>
      <w:r>
        <w:rPr>
          <w:lang w:val="en-US"/>
        </w:rPr>
        <w:t>.</w:t>
      </w:r>
    </w:p>
    <w:p w14:paraId="38366BD1" w14:textId="77777777" w:rsidR="001275F2" w:rsidRPr="00933DA5" w:rsidRDefault="001275F2" w:rsidP="001275F2">
      <w:pPr>
        <w:rPr>
          <w:lang w:val="en-US"/>
        </w:rPr>
      </w:pPr>
      <w:r w:rsidRPr="001275F2">
        <w:rPr>
          <w:lang w:val="en-US"/>
        </w:rPr>
        <w:t xml:space="preserve">The methodological literature on surgical trials counts clustering among the central challenges of randomized trials involving surgery, together with the learning curve that interacts with it </w:t>
      </w:r>
      <w:r>
        <w:rPr>
          <w:sz w:val="18"/>
          <w:szCs w:val="18"/>
          <w:vertAlign w:val="subscript"/>
          <w:lang w:val="en-US"/>
        </w:rPr>
        <w:t>[72, 75]</w:t>
      </w:r>
      <w:r>
        <w:rPr>
          <w:lang w:val="en-US"/>
        </w:rPr>
        <w:t xml:space="preserve">, </w:t>
      </w:r>
      <w:r w:rsidRPr="001275F2">
        <w:rPr>
          <w:lang w:val="en-US"/>
        </w:rPr>
        <w:t xml:space="preserve">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 </w:t>
      </w:r>
      <w:r>
        <w:rPr>
          <w:sz w:val="18"/>
          <w:szCs w:val="18"/>
          <w:vertAlign w:val="subscript"/>
          <w:lang w:val="en-US"/>
        </w:rPr>
        <w:t>[76]</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 xml:space="preserve">only one trial analyzed learning during conduct; a related analysis of funder guidance identified the same general concern </w:t>
      </w:r>
      <w:r>
        <w:rPr>
          <w:sz w:val="18"/>
          <w:szCs w:val="18"/>
          <w:vertAlign w:val="subscript"/>
          <w:lang w:val="en-US"/>
        </w:rPr>
        <w:t>[77]</w:t>
      </w:r>
      <w:r>
        <w:rPr>
          <w:lang w:val="en-US"/>
        </w:rPr>
        <w:t xml:space="preserve">. </w:t>
      </w:r>
      <w:bookmarkStart w:id="258"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258"/>
      <w:r>
        <w:rPr>
          <w:lang w:val="en-US"/>
        </w:rPr>
        <w:t>The interval between entry qualification and performance during conduct is exactly what a site-level instrument could cover, and it is the interval that Gap 3 in Table 3.1 identifies.</w:t>
      </w:r>
      <w:r>
        <w:rPr>
          <w:lang w:val="en-US"/>
        </w:rPr>
        <w:t xml:space="preserve"> A protocol can define a procedure in general terms, but it cannot standardize the many small decisions through which a particular surgeon implants a particular device in a particular anatomy. </w:t>
      </w:r>
      <w:r>
        <w:rPr>
          <w:lang w:val="en-US"/>
        </w:rPr>
        <w:t>The site therefore needs an instrument that operates during conduct.</w:t>
      </w:r>
    </w:p>
    <w:p w14:paraId="31C06244" w14:textId="77777777" w:rsidR="005B6E92" w:rsidRPr="00933DA5" w:rsidRDefault="00363464">
      <w:pPr>
        <w:pStyle w:val="Ttulo3"/>
        <w:rPr>
          <w:lang w:val="en-US"/>
        </w:rPr>
      </w:pPr>
      <w:bookmarkStart w:id="263" w:name="_1s60ojyhc57k" w:colFirst="0" w:colLast="0"/>
      <w:bookmarkStart w:id="264" w:name="_Toc243947270"/>
      <w:bookmarkEnd w:id="263"/>
      <w:r>
        <w:rPr>
          <w:lang w:val="en-US"/>
        </w:rPr>
        <w:t>3.4.3 Traceability as a point-of-care obligation</w:t>
      </w:r>
      <w:bookmarkEnd w:id="264"/>
    </w:p>
    <w:p w14:paraId="3C86A01F" w14:textId="77777777" w:rsidR="005B6E92" w:rsidRPr="00933DA5" w:rsidRDefault="00363464">
      <w:pPr>
        <w:rPr>
          <w:lang w:val="en-US"/>
        </w:rPr>
      </w:pPr>
      <w:r>
        <w:rPr>
          <w:lang w:val="en-US"/>
        </w:rPr>
        <w:t xml:space="preserve">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w:t>
      </w:r>
      <w:r>
        <w:rPr>
          <w:sz w:val="18"/>
          <w:szCs w:val="18"/>
          <w:vertAlign w:val="subscript"/>
          <w:lang w:val="en-US"/>
        </w:rPr>
        <w:t>[8]</w:t>
      </w:r>
      <w:r>
        <w:rPr>
          <w:lang w:val="en-US"/>
        </w:rPr>
        <w:t xml:space="preserve">.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w:t>
      </w:r>
      <w:r>
        <w:rPr>
          <w:sz w:val="18"/>
          <w:szCs w:val="18"/>
          <w:vertAlign w:val="subscript"/>
          <w:lang w:val="en-US"/>
        </w:rPr>
        <w:t>[10]</w:t>
      </w:r>
      <w:r>
        <w:rPr>
          <w:lang w:val="en-US"/>
        </w:rPr>
        <w:t>.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 xml:space="preserve">Traceability is the clearest example of a broader pattern that runs through the domains in Table 3.2. A class of critical data is generated at the point of care, external oversight cannot see it while it is happening, and it cannot be recovered once it is lost. </w:t>
      </w:r>
      <w:r>
        <w:rPr>
          <w:lang w:val="en-US"/>
        </w:rPr>
        <w:t>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w:t>
      </w:r>
      <w:r>
        <w:rPr>
          <w:lang w:val="en-US"/>
        </w:rPr>
        <w:t xml:space="preserve"> </w:t>
      </w:r>
      <w:r>
        <w:rPr>
          <w:lang w:val="en-US"/>
        </w:rPr>
        <w:t>A framework that deals with this class of data has to operate when the data are generated, because sponsor verification takes place afterward.</w:t>
      </w:r>
    </w:p>
    <w:p w14:paraId="5380F576" w14:textId="77777777" w:rsidR="005B6E92" w:rsidRPr="00933DA5" w:rsidRDefault="00363464">
      <w:pPr>
        <w:pStyle w:val="Ttulo3"/>
        <w:rPr>
          <w:lang w:val="en-US"/>
        </w:rPr>
      </w:pPr>
      <w:bookmarkStart w:id="269" w:name="_ldjbe2e1ln6s" w:colFirst="0" w:colLast="0"/>
      <w:bookmarkStart w:id="270" w:name="_Toc243947271"/>
      <w:bookmarkEnd w:id="269"/>
      <w:r>
        <w:rPr>
          <w:lang w:val="en-US"/>
        </w:rPr>
        <w:t>3.4.4 Where these investigations are conducted</w:t>
      </w:r>
      <w:bookmarkEnd w:id="270"/>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w:t>
      </w:r>
      <w:r>
        <w:rPr>
          <w:lang w:val="en-US"/>
        </w:rPr>
        <w:t xml:space="preserve">Between 2006 and 2012, the United States ran 540 trial site-years per million inhabitants, more than twice the rate of the other high-income OECD countries [Drain 2018], and North America </w:t>
      </w:r>
      <w:r>
        <w:rPr>
          <w:lang w:val="en-US"/>
        </w:rPr>
        <w:t>held 62.6% of the sites of industry-sponsored device trials registered between 2005 and 2009 [Karlberg 2009].</w:t>
      </w:r>
      <w:r>
        <w:rPr>
          <w:lang w:val="en-US"/>
        </w:rPr>
        <w:t xml:space="preserve"> Open Payments data show that a large majority of US investigators in commercially sponsored trials </w:t>
      </w:r>
      <w:r w:rsidRPr="001A6E2F">
        <w:rPr>
          <w:lang w:val="en-US"/>
        </w:rPr>
        <w:t xml:space="preserve">conduct them in their private practice [Glass 2020]. </w:t>
      </w:r>
      <w:r>
        <w:rPr>
          <w:lang w:val="en-US"/>
        </w:rPr>
        <w:t>In FDA records from 2008 to 2015, one third of principal investigators each year were filing for the first time, and 40% of those active in a given year did not file again the following year [Getz 2017]. Among the principal investigators of FDA-regulated drug trials, 63.8% found it burdensome to fit the trial around their other work [Corneli 2017].</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 [Ebrahimi 2024]. Stakeholders in Ontario described community hospitals as willing to join trials but mostly without research infrastructure [Wang 2022], and authors from a Swiss private hospital network report early difficulties with infrastructure, regulatory compliance and quality assurance in setting up a trial unit [Rossier 2026].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 [Espinoza 2025].</w:t>
      </w:r>
    </w:p>
    <w:p w14:paraId="599441F1" w14:textId="2C89E526" w:rsidR="001A6E2F" w:rsidRPr="001A6E2F" w:rsidRDefault="001A6E2F" w:rsidP="001A6E2F">
      <w:pPr>
        <w:spacing w:line="338" w:lineRule="auto"/>
        <w:rPr>
          <w:lang w:val="en-US"/>
        </w:rPr>
      </w:pPr>
      <w:r w:rsidRPr="001A6E2F">
        <w:rPr>
          <w:lang w:val="en-US"/>
        </w:rPr>
        <w:t>The constraints weigh more where organizational capacity is lower. Inadequate staffing bandwidth was the most frequent reason sites gave for declining to join a lung cancer screening trial, cited by 33% of those that declined and by 45% of the community-based programs among them [Ciupek 2024]. Among community cancer centers running therapeutic trials, 2 of 8 rural practices offered phase 1 trials against 22 of 33 urban ones, and the centers running none cited limited infrastructure, funding and staffing [Ebrahimi 2024]. Respondents with experience of nontraditional research sites named deficient operational infrastructure as their main challenge and quality oversight as a main support need [Bastek 2025].</w:t>
      </w:r>
    </w:p>
    <w:p w14:paraId="0ACDDCAA" w14:textId="198308C3" w:rsidR="001A6E2F" w:rsidRPr="001A6E2F" w:rsidRDefault="001A6E2F" w:rsidP="001A6E2F">
      <w:pPr>
        <w:spacing w:line="338" w:lineRule="auto"/>
        <w:rPr>
          <w:lang w:val="en-US"/>
        </w:rPr>
      </w:pPr>
      <w:r>
        <w:rPr>
          <w:lang w:val="en-US"/>
        </w:rPr>
        <w:t>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w:t>
      </w:r>
      <w:r>
        <w:rPr>
          <w:lang w:val="en-US"/>
        </w:rPr>
        <w:t xml:space="preserve">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t>The registry search produced 46 eligible industry-sponsored investigations of implantable shoulder devices with 355 site records. Eight records could not be resolved to a 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pPr>
        <w:pStyle w:val="Tablecaption"/>
      </w:pPr>
      <w:r>
        <w:rPr>
          <w:b/>
        </w:rPr>
        <w:t>Table 3.3.</w:t>
      </w:r>
      <w:r>
        <w:t xml:space="preserve"> Organizational environment of the 347 site records and 238 organizations in the registry dataset, including the organizations located in the United States.</w:t>
      </w:r>
    </w:p>
    <w:p w14:paraId="38C0F236" w14:textId="4CCDD372" w:rsidR="005B6E92" w:rsidRDefault="005D6CD2" w:rsidP="00A263F8">
      <w:pPr>
        <w:rPr>
          <w:lang w:val="en-US"/>
        </w:rPr>
        <w:ind w:firstLine="0"/>
        <w:jc w:val="center"/>
      </w:pPr>
      <w:bookmarkStart w:id="277" w:name="bm_tbl_33"/>
      <w:r>
        <w:rPr>
          <w:noProof/>
          <w:lang w:val="en-US"/>
        </w:rPr>
      </w:r>
      <w:bookmarkEnd w:id="277"/>
    </w:p>
    <w:p w14:paraId="22ECAFD6" w14:textId="409BFD85" w:rsidR="00A263F8" w:rsidRPr="00A263F8" w:rsidRDefault="00A263F8" w:rsidP="00A263F8">
      <w:pPr>
        <w:rPr>
          <w:lang w:val="en-US"/>
        </w:rPr>
      </w:pPr>
    </w:p>
    <w:p w14:paraId="13B9DC54" w14:textId="77777777"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Hospitals hosted most of the investigational activity in the sample, with 239 of the 347 site records (68.9%).</w:t>
      </w:r>
      <w:r>
        <w:rPr>
          <w:lang w:val="en-US"/>
        </w:rPr>
        <w:t xml:space="preserve"> The remaining 108 site records (31.1%) </w:t>
      </w:r>
      <w:r w:rsidR="00F50C51" w:rsidRPr="00F50C51">
        <w:rPr>
          <w:lang w:val="en-US"/>
        </w:rPr>
        <w:t xml:space="preserve">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w:t>
      </w:r>
      <w:r w:rsidR="00F50C51" w:rsidRPr="00F50C51">
        <w:rPr>
          <w:lang w:val="en-US"/>
        </w:rPr>
        <w:t>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rPr>
          <w:lang w:val="en-US"/>
        </w:rPr>
      </w:pPr>
      <w:bookmarkStart w:id="284" w:name="_am01u6zitxl" w:colFirst="0" w:colLast="0"/>
      <w:bookmarkStart w:id="285" w:name="_Toc243947272"/>
      <w:bookmarkEnd w:id="284"/>
      <w:r>
        <w:rPr>
          <w:lang w:val="en-US"/>
        </w:rPr>
        <w:t>3.4.5 The operating conditions of the target center</w:t>
      </w:r>
      <w:bookmarkEnd w:id="285"/>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 xml:space="preserve">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 [Sohatee 2024]. Experts on pediatric device trials rated a device training plan among the most important infrastructure components for implanting and using the device [Feudtner 2025]. A nonhospital site conducting a shoulder device investigation is therefore unlikely to </w:t>
      </w:r>
      <w:r w:rsidRPr="00263310">
        <w:rPr>
          <w:lang w:val="en-US"/>
        </w:rPr>
        <w:t>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rPr>
          <w:lang w:val="en-US"/>
        </w:rPr>
      </w:pPr>
      <w:bookmarkStart w:id="286" w:name="_nmpt247jcn3l" w:colFirst="0" w:colLast="0"/>
      <w:bookmarkStart w:id="287" w:name="_Toc241922305"/>
      <w:bookmarkStart w:id="288" w:name="_Toc243947273"/>
      <w:bookmarkEnd w:id="286"/>
      <w:r>
        <w:rPr>
          <w:lang w:val="en-US"/>
        </w:rPr>
        <w:t>3.5 Design requirements</w:t>
      </w:r>
      <w:bookmarkEnd w:id="287"/>
      <w:bookmarkEnd w:id="288"/>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 xml:space="preserve">Meeting one requirement can also make another harder to meet. DR11 rules out capital investment and asks the site to reuse its existing documentary system, so it limits how DR1 to </w:t>
      </w:r>
      <w:r w:rsidRPr="009C739A">
        <w:rPr>
          <w:lang w:val="en-US"/>
        </w:rPr>
        <w:t>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w:t>
      </w:r>
      <w:r>
        <w:rPr>
          <w:lang w:val="en-US"/>
        </w:rPr>
        <w:t xml:space="preserve">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pPr>
        <w:pStyle w:val="Tablecaption"/>
      </w:pPr>
      <w:r>
        <w:rPr>
          <w:b/>
        </w:rPr>
        <w:t>Table 3.4.</w:t>
      </w:r>
      <w:r>
        <w:t xml:space="preserve"> Design requirements (DR1 to DR12) for a site-level operational quality framework and their origin in the regulatory gaps, the CtQ domains, or the operating conditions of the target center.</w:t>
      </w:r>
    </w:p>
    <w:p w14:paraId="2EF1AA02" w14:textId="2D23A78A" w:rsidR="00EB6FCD" w:rsidRPr="00EB6FCD" w:rsidRDefault="00EB6FCD" w:rsidP="00EB6FCD">
      <w:pPr>
        <w:rPr>
          <w:lang w:val="en-US"/>
        </w:rPr>
        <w:sectPr w:rsidR="00EB6FCD" w:rsidRPr="00EB6FCD" w:rsidSect="004030B7">
          <w:pgSz w:w="11909" w:h="16834"/>
          <w:pgMar w:top="1701" w:right="1417" w:bottom="1701" w:left="1417" w:header="720" w:footer="720" w:gutter="0"/>
          <w:cols w:space="720"/>
          <w:docGrid w:linePitch="326"/>
        </w:sectPr>
        <w:ind w:firstLine="0"/>
        <w:jc w:val="center"/>
      </w:pPr>
      <w:r>
        <w:rPr>
          <w:noProof/>
          <w:lang w:val="en-US"/>
        </w:rPr>
      </w:r>
    </w:p>
    <w:p w14:paraId="0813C8E0" w14:textId="77777777" w:rsidR="005B6E92" w:rsidRPr="00933DA5" w:rsidRDefault="00363464" w:rsidP="004030B7">
      <w:pPr>
        <w:pStyle w:val="Ttulo1"/>
        <w:ind w:firstLine="0"/>
        <w:rPr>
          <w:lang w:val="en-US"/>
        </w:rPr>
      </w:pPr>
      <w:bookmarkStart w:id="294" w:name="_rxogey3bf1eg" w:colFirst="0" w:colLast="0"/>
      <w:bookmarkStart w:id="295" w:name="_Toc241922306"/>
      <w:bookmarkStart w:id="296" w:name="_Toc243947274"/>
      <w:bookmarkEnd w:id="294"/>
      <w:r>
        <w:rPr>
          <w:lang w:val="en-US"/>
        </w:rPr>
        <w:t>4. Results: The Quality Framework</w:t>
      </w:r>
      <w:bookmarkEnd w:id="295"/>
      <w:bookmarkEnd w:id="296"/>
    </w:p>
    <w:p>
      <w:pPr>
        <w:pStyle w:val="Ttulo2"/>
        <w:rPr>
          <w:lang w:val="en-US"/>
        </w:rPr>
      </w:pPr>
      <w:r>
        <w:rPr>
          <w:lang w:val="en-US"/>
        </w:rPr>
        <w:t>4.1 Overview and design rationale</w:t>
      </w:r>
    </w:p>
    <w:p>
      <w:pPr>
        <w:rPr>
          <w:lang w:val="en-US"/>
        </w:rPr>
      </w:pPr>
      <w:r>
        <w:rPr>
          <w:lang w:val="en-US"/>
        </w:rPr>
        <w:t>This chapter reports the third DSRM activity, the design and development of the framework to meet DR1 to DR12. It describes each component in enough detail for a site to implement and operate it.</w:t>
      </w:r>
    </w:p>
    <w:p>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pPr>
        <w:rPr>
          <w:lang w:val="en-US"/>
        </w:rPr>
      </w:pPr>
      <w:r>
        <w:rPr>
          <w:lang w:val="en-US"/>
        </w:rPr>
        <w:t xml:space="preserve">Governance, Risk Management, Operational Controls, and Performance Oversight together answer DR1 to DR8 (Sections 4.2 to 4.5). Section 3.2.1 showed that, of the two organizations producing the evidence behind the clinical evaluation report, only the site works without a quality system of its own. We therefore drew on the functions of the systems that the manufacturer operates under ISO 13485:2016 and ISO 14971:2019. We also drew on ISO 15189:2022, which gives a quality system to another organization whose results others rely on, the medical laboratory </w:t>
      </w:r>
      <w:r>
        <w:rPr>
          <w:sz w:val="18"/>
          <w:szCs w:val="18"/>
          <w:vertAlign w:val="subscript"/>
          <w:lang w:val="en-US"/>
        </w:rPr>
        <w:t>[57–59]</w:t>
      </w:r>
      <w:r>
        <w:rPr>
          <w:lang w:val="en-US"/>
        </w:rPr>
        <w:t>. The four pillars bring those functions into a site-level structure, although none of the three standards uses this exact division.</w:t>
      </w:r>
    </w:p>
    <w:p>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pPr>
        <w:rPr>
          <w:lang w:val="en-US"/>
        </w:rPr>
      </w:pPr>
      <w:r>
        <w:rPr>
          <w:lang w:val="en-US"/>
        </w:rPr>
        <w:t>We developed the framework for the target center described in Section 3.4.5, a nonhospital organization where it could assume the least organizational support. The conditions of that center shaped the instruments and set the minimum implementation level. Because the components are described as functions, centers with different staffing structures can assign their own posts to those functions.</w:t>
      </w:r>
    </w:p>
    <w:p>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pPr>
        <w:pStyle w:val="Ttulo2"/>
        <w:rPr>
          <w:lang w:val="en-US"/>
        </w:rPr>
      </w:pPr>
      <w:r>
        <w:rPr>
          <w:lang w:val="en-US"/>
        </w:rPr>
        <w:t>4.2 Pillar 1: Governance</w:t>
      </w:r>
    </w:p>
    <w:p>
      <w:pPr>
        <w:rPr>
          <w:lang w:val="en-US"/>
        </w:rPr>
      </w:pPr>
      <w:r>
        <w:rPr>
          <w:lang w:val="en-US"/>
        </w:rPr>
        <w:t>The regulatory instruments examined assign several quality duties to the investigator, including supervision of delegated activities and assurance that the site team is qualified. However, none requires a structure that brings those duties together (Gap 1). Governance provides that structure for DR1 and DR10, in CtQ domains 1 and 6, while leaving each duty with the party that already holds it. It defines who has authority for quality at the site, how that authority is delegated, and the conditions that staff must meet before undertaking their tasks. These conditions are especially relevant in a surgical device investigation, where results depend on the surgeon as well as the device.</w:t>
      </w:r>
    </w:p>
    <w:p>
      <w:pPr>
        <w:rPr>
          <w:lang w:val="en-US"/>
        </w:rPr>
      </w:pPr>
      <w:r>
        <w:rPr>
          <w:lang w:val="en-US"/>
        </w:rPr>
        <w:t>The oversight model defines how the PI exercises this authority, and the delegation structure identifies who may perform each task. Device training documentation establishes the preparation required for those tasks, with a separate qualification and authorization decision for surgeons. Once a surgeon starts operating, Risk Management tracks the learning curve and provides evidence for subsequent authorization decisions (Section 4.3.2).</w:t>
      </w:r>
    </w:p>
    <w:p>
      <w:pPr>
        <w:pStyle w:val="Ttulo3"/>
        <w:rPr>
          <w:lang w:val="en-US"/>
        </w:rPr>
      </w:pPr>
      <w:r>
        <w:rPr>
          <w:lang w:val="en-US"/>
        </w:rPr>
        <w:t>4.2.1 The oversight model</w:t>
      </w:r>
    </w:p>
    <w:p>
      <w:pPr>
        <w:rPr>
          <w:lang w:val="en-US"/>
        </w:rPr>
      </w:pPr>
      <w:r>
        <w:rPr>
          <w:lang w:val="en-US"/>
        </w:rPr>
        <w:t xml:space="preserve">During design, we compared three ways of allocating oversight under different conditions of staffing and capacity. The descriptions of trial-site operations we reviewed confirm that these functions need to be covered </w:t>
      </w:r>
      <w:r>
        <w:rPr>
          <w:sz w:val="18"/>
          <w:szCs w:val="18"/>
          <w:vertAlign w:val="subscript"/>
          <w:lang w:val="en-US"/>
        </w:rPr>
        <w:t>[78, 79]</w:t>
      </w:r>
      <w:r>
        <w:rPr>
          <w:lang w:val="en-US"/>
        </w:rPr>
        <w:t>, but they do not classify them into these arrangements. We therefore use the three arrangements as design options.</w:t>
      </w:r>
    </w:p>
    <w:p>
      <w:pPr>
        <w:rPr>
          <w:lang w:val="en-US"/>
        </w:rPr>
      </w:pPr>
      <w:r>
        <w:rPr>
          <w:lang w:val="en-US"/>
        </w:rPr>
        <w:t xml:space="preserve">In the first arrangement, the PI intervenes directly in most critical activities and personally reviews most documentary and operational workflows. This can appear to provide close supervision, but it becomes difficult to sustain as activity grows. Site PIs already carry scientific and regulatory duties alongside recruitment, supervision, and administration, and their contribution is often under-recognized </w:t>
      </w:r>
      <w:r>
        <w:rPr>
          <w:sz w:val="18"/>
          <w:szCs w:val="18"/>
          <w:vertAlign w:val="subscript"/>
          <w:lang w:val="en-US"/>
        </w:rPr>
        <w:t>[78]</w:t>
      </w:r>
      <w:r>
        <w:rPr>
          <w:lang w:val="en-US"/>
        </w:rPr>
        <w:t>. Routine administrative review can then take time from decisions that need the PI's clinical judgment, such as confirming surgical appropriateness, interpreting an intraoperative deviation, or assessing whether a complication is related to the investigational device. The arrangement also scales poorly because the PI would have to follow every area of the investigation, from the operating room and radiology to follow-up, implant accountability, AE management, and data QC.</w:t>
      </w:r>
    </w:p>
    <w:p>
      <w:pPr>
        <w:rPr>
          <w:lang w:val="en-US"/>
        </w:rPr>
      </w:pPr>
      <w:r>
        <w:rPr>
          <w:lang w:val="en-US"/>
        </w:rPr>
        <w:t xml:space="preserve">In the second arrangement, the study coordinator manages daily work while the PI retains final authority. This is a workable allocation: the clinical research coordinator is a core site function </w:t>
      </w:r>
      <w:r>
        <w:rPr>
          <w:sz w:val="18"/>
          <w:szCs w:val="18"/>
          <w:vertAlign w:val="subscript"/>
          <w:lang w:val="en-US"/>
        </w:rPr>
        <w:t>[79]</w:t>
      </w:r>
      <w:r>
        <w:rPr>
          <w:lang w:val="en-US"/>
        </w:rPr>
        <w:t xml:space="preserve">, and ICH E6(R3) permits delegation while the investigator retains ultimate responsibility and proportionate oversight </w:t>
      </w:r>
      <w:r>
        <w:rPr>
          <w:sz w:val="18"/>
          <w:szCs w:val="18"/>
          <w:vertAlign w:val="subscript"/>
          <w:lang w:val="en-US"/>
        </w:rPr>
        <w:t>[6]</w:t>
      </w:r>
      <w:r>
        <w:rPr>
          <w:lang w:val="en-US"/>
        </w:rPr>
        <w:t xml:space="preserve">. FDA guidance on investigator supervision takes the same position </w:t>
      </w:r>
      <w:r>
        <w:rPr>
          <w:sz w:val="18"/>
          <w:szCs w:val="18"/>
          <w:vertAlign w:val="subscript"/>
          <w:lang w:val="en-US"/>
        </w:rPr>
        <w:t>[80]</w:t>
      </w:r>
      <w:r>
        <w:rPr>
          <w:lang w:val="en-US"/>
        </w:rPr>
        <w:t>. Oversight becomes nominal, however, if the site leaves the decisions requiring the PI undefined and establishes neither a review structure and frequency nor a route for escalation. In a surgical investigation, the PI may need to decide on borderline eligibility, an unplanned intraoperative change such as a component substitution, or the interpretation of a revision. The PI also needs to assess inconsistencies whose clinical meaning cannot be established from the documentation alone.</w:t>
      </w:r>
    </w:p>
    <w:p>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participant safety, procedural integrity, device accountability, and data reliability. This applies the CtQ logic of ICH E8(R1) to the allocation of the investigator's attention </w:t>
      </w:r>
      <w:r>
        <w:rPr>
          <w:sz w:val="18"/>
          <w:szCs w:val="18"/>
          <w:vertAlign w:val="subscript"/>
          <w:lang w:val="en-US"/>
        </w:rPr>
        <w:t>[5]</w:t>
      </w:r>
      <w:r>
        <w:rPr>
          <w:lang w:val="en-US"/>
        </w:rPr>
        <w:t>, using the CtQ factors identified when the investigation starts (Section 4.3.1). The site must therefore set thresholds and a review schedule before enrolling the first participant and assign someone to keep the meetings running throughout the investigation.</w:t>
      </w:r>
    </w:p>
    <w:p>
      <w:pPr>
        <w:rPr>
          <w:lang w:val="en-US"/>
        </w:rPr>
      </w:pPr>
      <w:r>
        <w:rPr>
          <w:lang w:val="en-US"/>
        </w:rPr>
        <w:t>Five mechanisms make this oversight a documented and scheduled practice, as DR1 requires. The criticality grade assigned to each delegated task provides the basis for the other mechanisms.</w:t>
      </w:r>
    </w:p>
    <w:p>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without meaningful oversight. The Criticality-Coded Delegation Matrix (CCDM) records the supervision level for each task (Appendix A).</w:t>
      </w:r>
    </w:p>
    <w:p>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in the context of the investigation. Coordinating a routine visit is administrative work, but a scheduling decision can place a follow-up outside the protocol window. Similarly, an intraoperative note may later be needed to reconstruct a disputed complication. The grades therefore come from the CtQ factors of the investigation itself, because a scheme copied from another site may overlook risks specific to its procedures or team. The CCDM records these grades.</w:t>
      </w:r>
    </w:p>
    <w:p>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 </w:t>
      </w:r>
      <w:r>
        <w:rPr>
          <w:sz w:val="18"/>
          <w:szCs w:val="18"/>
          <w:vertAlign w:val="subscript"/>
          <w:lang w:val="en-US"/>
        </w:rPr>
        <w:t>[8]</w:t>
      </w:r>
      <w:r>
        <w:rPr>
          <w:lang w:val="en-US"/>
        </w:rPr>
        <w:t xml:space="preserve"> and the periodic risk review described in the EMA reflection paper </w:t>
      </w:r>
      <w:r>
        <w:rPr>
          <w:sz w:val="18"/>
          <w:szCs w:val="18"/>
          <w:vertAlign w:val="sub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pPr>
        <w:pStyle w:val="Ttulo3"/>
        <w:rPr>
          <w:lang w:val="en-US"/>
        </w:rPr>
      </w:pPr>
      <w:r>
        <w:rPr>
          <w:lang w:val="en-US"/>
        </w:rPr>
        <w:t>4.2.2 Delegation, roles, and functions</w:t>
      </w:r>
    </w:p>
    <w:p>
      <w:pPr>
        <w:rPr>
          <w:lang w:val="en-US"/>
        </w:rPr>
      </w:pPr>
      <w:r>
        <w:rPr>
          <w:lang w:val="en-US"/>
        </w:rPr>
        <w:t>The PI can adjust supervision to a task's criticality only if the site knows who performs it and whether that person is authorized and trained. Staff also need to know who must act when an escalation trigger is met. The role structure makes these responsibilities explicit under DR10, which requires defined holders for quality functions and a distinction between authority and task-level responsibility, so that no CtQ function stops when one person is unavailable.</w:t>
      </w:r>
    </w:p>
    <w:p>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Delegation records are examined directly at inspection, and the investigator remains accountable for delegated work </w:t>
      </w:r>
      <w:r>
        <w:rPr>
          <w:sz w:val="18"/>
          <w:szCs w:val="18"/>
          <w:vertAlign w:val="subscript"/>
          <w:lang w:val="en-US"/>
        </w:rPr>
        <w:t>[81]</w:t>
      </w:r>
      <w:r>
        <w:rPr>
          <w:lang w:val="en-US"/>
        </w:rPr>
        <w:t>. The record therefore has three properties.</w:t>
      </w:r>
    </w:p>
    <w:p>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pPr>
        <w:pStyle w:val="Tablecaption"/>
      </w:pPr>
      <w:r>
        <w:rPr>
          <w:b/>
        </w:rPr>
        <w:t>Table 4.1.</w:t>
      </w:r>
      <w:r>
        <w:t xml:space="preserve"> The six functions of the role structure, with their main responsibilities and limits of authority.</w:t>
      </w:r>
    </w:p>
    <w:p>
      <w:pPr>
        <w:rPr>
          <w:lang w:val="en-US"/>
        </w:rPr>
        <w:ind w:firstLine="0"/>
        <w:jc w:val="center"/>
      </w:pPr>
      <w:r>
        <w:rPr>
          <w:noProof/>
        </w:rPr>
      </w:r>
    </w:p>
    <w:p>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pPr>
        <w:pStyle w:val="Ttulo3"/>
        <w:rPr>
          <w:lang w:val="en-US"/>
        </w:rPr>
      </w:pPr>
      <w:r>
        <w:rPr>
          <w:lang w:val="en-US"/>
        </w:rPr>
        <w:t>4.2.3 Device training documentation</w:t>
      </w:r>
    </w:p>
    <w:p>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pPr>
        <w:rPr>
          <w:lang w:val="en-US"/>
        </w:rPr>
      </w:pPr>
      <w:r>
        <w:rPr>
          <w:lang w:val="en-US"/>
        </w:rPr>
        <w:t xml:space="preserve">Under the MDR, people conducting an investigation must be adequately trained in the proper use of the investigational device, the CIP, and GCP. The sponsor verifies and documents this training and arranges it where necessary </w:t>
      </w:r>
      <w:r>
        <w:rPr>
          <w:sz w:val="18"/>
          <w:szCs w:val="18"/>
          <w:vertAlign w:val="subscript"/>
          <w:lang w:val="en-US"/>
        </w:rPr>
        <w:t>[10]</w:t>
      </w:r>
      <w:r>
        <w:rPr>
          <w:lang w:val="en-US"/>
        </w:rPr>
        <w:t>. ISO 14155:2026 makes the PI responsible for training the site team and requires new members to complete documented training before starting their assignment. The sponsor ensures that this training is documented and verified. ICH E6(R3) limits trial-related training to what delegated activities require beyond a person's usual training and experience, while ICH E8(R1) asks that training match each role and take place before the person becomes involved in the study.</w:t>
      </w:r>
    </w:p>
    <w:p>
      <w:pPr>
        <w:rPr>
          <w:lang w:val="en-US"/>
        </w:rPr>
      </w:pPr>
      <w:r>
        <w:rPr>
          <w:lang w:val="en-US"/>
        </w:rPr>
        <w:t>The sponsor defines the training content through the investigation documents and risk controls. The MDR requires the CIP to state the training and experience needed to use the device and the IB to include information on any relevant training. ISO 14155:2026 asks the same of both documents and requires the sponsor to consider how far risk controls depend on training, such as cadaver training or support to users during the investigation. The texts examined thus place the content and verification of training with the sponsor and the duty to train the team with the PI, but none of them specifies the training needed for each site role and task, how readiness for independent work is decided, or when training needs updating. This component organizes the site's existing duty around those decisions.</w:t>
      </w:r>
    </w:p>
    <w:p>
      <w:pPr>
        <w:rPr>
          <w:lang w:val="en-US"/>
        </w:rPr>
      </w:pPr>
      <w:r>
        <w:rPr>
          <w:lang w:val="en-US"/>
        </w:rPr>
        <w:t>Medicinal-product GCP also requires personnel familiar with the investigational product. In a device investigation, training must additionally cover the functions linked to the device and its use. The framework groups these into five training areas, each protecting one or more CtQ domains.</w:t>
      </w:r>
    </w:p>
    <w:p>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pPr>
        <w:rPr>
          <w:lang w:val="en-US"/>
        </w:rPr>
      </w:pPr>
      <w:r>
        <w:rPr>
          <w:lang w:val="en-US"/>
        </w:rPr>
        <w:t>Each training record identifies the person and training area, the date and trainer, and the version of the controlled document used. After a revised IFU or amended CIP, the site can therefore identify everyone trained on the earlier version.</w:t>
      </w:r>
    </w:p>
    <w:p>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pPr>
        <w:pStyle w:val="Ttulo3"/>
        <w:rPr>
          <w:lang w:val="en-US"/>
        </w:rPr>
      </w:pPr>
      <w:r>
        <w:rPr>
          <w:lang w:val="en-US"/>
        </w:rPr>
        <w:t>4.2.4 Surgeon qualification and continued authorization</w:t>
      </w:r>
    </w:p>
    <w:p>
      <w:pPr>
        <w:rPr>
          <w:lang w:val="en-US"/>
        </w:rPr>
      </w:pPr>
      <w:r>
        <w:rPr>
          <w:lang w:val="en-US"/>
        </w:rPr>
        <w:t>Under the MDR, everyone conducting an investigation must be suitably qualified for their tasks, and the sponsor must show that the investigator and site are capable of conducting it. ISO 14155:2026 assigns the sponsor the selection criteria and verification of qualification before the investigation starts. The PI documents the team's qualifications, maintains an adequate team throughout the investigation, and ensures that only authorized users handle the device. The sponsor therefore sets the entry threshold through the CIP and its training requirements, in line with the study risk assessment. The site documents that each surgeon assigned a study procedure meets that threshold.</w:t>
      </w:r>
    </w:p>
    <w:p>
      <w:pPr>
        <w:rPr>
          <w:lang w:val="en-US"/>
        </w:rPr>
      </w:pPr>
      <w:r>
        <w:rPr>
          <w:lang w:val="en-US"/>
        </w:rPr>
        <w:t>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pPr>
        <w:rPr>
          <w:lang w:val="en-US"/>
        </w:rPr>
      </w:pPr>
      <w:r>
        <w:rPr>
          <w:lang w:val="en-US"/>
        </w:rPr>
        <w:t>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provide evidence from the surgeon's own sequence of cases for this review. Each reassessment uses the same four categories, allowing authorization to be restricted or withdrawn and later restored. None of the three regulatory instruments examined specifies how observed performance should inform the PI's duty to maintain an adequate team (Gap 3). The framework closes that gap by linking performance to continued authorization through defined triggers and graded decisions, giving the monitoring required by DR3 a route to action. The Surgical Credentialing Record (SCR) records each decision and its evidence, and the RACI carries the resulting authorization into the delegation record (Appendix G).</w:t>
      </w:r>
    </w:p>
    <w:p>
      <w:pPr>
        <w:pStyle w:val="Ttulo2"/>
        <w:rPr>
          <w:lang w:val="en-US"/>
        </w:rPr>
      </w:pPr>
      <w:r>
        <w:rPr>
          <w:lang w:val="en-US"/>
        </w:rPr>
        <w:t>4.3 Pillar 2: Risk Management</w:t>
      </w:r>
    </w:p>
    <w:p>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pPr>
        <w:rPr>
          <w:lang w:val="en-US"/>
        </w:rPr>
      </w:pPr>
      <w:r>
        <w:rPr>
          <w:lang w:val="en-US"/>
        </w:rPr>
        <w:t>The texts examined address risk at device and trial levels. The manufacturer manages device risk under ISO 14971, and the MDR requires the CIP to describe the risks and clinical benefits of the device under investigation. At trial level, ICH E8(R1) and ICH E6(R3) ask the sponsor to manage risks to critical factors through a cycle from identification to review. The nonbinding EMA reflection paper describes that cycle in operational terms. ISO 14155:2026 keeps the risks of using the device within ISO 14971 and identifies two further sources: the clinical procedures required by the CIP beyond routine practice, which the fourth edition added, and the conduct of the investigation itself. It assigns management of these risks to the sponsor.</w:t>
      </w:r>
    </w:p>
    <w:p>
      <w:pPr>
        <w:rPr>
          <w:lang w:val="en-US"/>
        </w:rPr>
      </w:pPr>
      <w:r>
        <w:rPr>
          <w:lang w:val="en-US"/>
        </w:rPr>
        <w:t>The third level concerns the risks created by the way an individual site carries out the protocol. None of these texts assigns an owner to a separate risk cycle at this level. The sponsor's cycle has to work across centers with different staff and working practices, so it cannot be built around the weaknesses of one center. In an orthopedic device investigation, these local weaknesses can affect both clinical outcomes and the methods used to assess them. Most of the structural conditions described in Chapter 3 act at the site, including operator dependence and the limited reliability of classifications, and the first signs of device-related complications also appear there. The site's knowledge of its own processes therefore puts it in a position to identify and control these local risks.</w:t>
      </w:r>
    </w:p>
    <w:p>
      <w:pPr>
        <w:pStyle w:val="Ttulo3"/>
        <w:rPr>
          <w:lang w:val="en-US"/>
        </w:rPr>
      </w:pPr>
      <w:r>
        <w:rPr>
          <w:lang w:val="en-US"/>
        </w:rPr>
        <w:t>4.3.1 The site risk register</w:t>
      </w:r>
    </w:p>
    <w:p>
      <w:pPr>
        <w:rPr>
          <w:lang w:val="en-US"/>
        </w:rPr>
      </w:pPr>
      <w:r>
        <w:rPr>
          <w:lang w:val="en-US"/>
        </w:rPr>
        <w:t xml:space="preserve">A 2023 survey of 46 Portuguese clinical trial sites found that 57.0% reported using a systematic risk management tool, but only nine (19.6%) described a standard tool or document that captured risk analysis at site level </w:t>
      </w:r>
      <w:r>
        <w:rPr>
          <w:sz w:val="18"/>
          <w:szCs w:val="18"/>
          <w:vertAlign w:val="subscript"/>
          <w:lang w:val="en-US"/>
        </w:rPr>
        <w:t>[82]</w:t>
      </w:r>
      <w:r>
        <w:rPr>
          <w:lang w:val="en-US"/>
        </w:rPr>
        <w:t>. Most sites (87.0%) were willing to use a tool built for their own needs. Among the reasons given against using one, lack of knowledge of risk management was the main concern. Although limited to one national survey, this was the closest measurement of Gap 2 that we found.</w:t>
      </w:r>
    </w:p>
    <w:p>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pPr>
        <w:rPr>
          <w:lang w:val="en-US"/>
        </w:rPr>
      </w:pPr>
      <w:r>
        <w:rPr>
          <w:lang w:val="en-US"/>
        </w:rPr>
        <w:t>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beyond the site goes to the sponsor. The Site Risk Register (SRR) documents this process from identification to reassessment, as DR2 requires, and holds each risk with its CtQ factor and control plan (Appendix H).</w:t>
      </w:r>
    </w:p>
    <w:p>
      <w:pPr>
        <w:pStyle w:val="Ttulo3"/>
        <w:rPr>
          <w:lang w:val="en-US"/>
        </w:rPr>
      </w:pPr>
      <w:r>
        <w:rPr>
          <w:lang w:val="en-US"/>
        </w:rPr>
        <w:t>4.3.2 Operator-dependent risk and the learning curve</w:t>
      </w:r>
    </w:p>
    <w:p>
      <w:pPr>
        <w:rPr>
          <w:lang w:val="en-US"/>
        </w:rPr>
      </w:pPr>
      <w:r>
        <w:rPr>
          <w:lang w:val="en-US"/>
        </w:rPr>
        <w:t>In a surgical device investigation, the procedure forms part of the intervention, adding a source of operator-dependent risk that a medicinal product does not carry. The surgeon's technique and decision thresholds can affect protocol adherence and implant traceability as well as endpoints and clinical outcomes, with effects across the cases performed by that surgeon. The instruments compared in this thesis control operator learning at entry but give the site no role in observing it during conduct (Gap 3). The framework therefore includes monitoring during conduct that is specific to the surgeon, procedure, and device, as DR3 requires.</w:t>
      </w:r>
    </w:p>
    <w:p>
      <w:pPr>
        <w:rPr>
          <w:lang w:val="en-US"/>
        </w:rPr>
      </w:pPr>
      <w:r>
        <w:rPr>
          <w:lang w:val="en-US"/>
        </w:rPr>
        <w:t xml:space="preserve">Experience is associated with shorter operative times and fewer complications, together with better PROM scores </w:t>
      </w:r>
      <w:r>
        <w:rPr>
          <w:sz w:val="18"/>
          <w:szCs w:val="18"/>
          <w:vertAlign w:val="subscript"/>
          <w:lang w:val="en-US"/>
        </w:rPr>
        <w:t>[20]</w:t>
      </w:r>
      <w:r>
        <w:rPr>
          <w:lang w:val="en-US"/>
        </w:rPr>
        <w:t xml:space="preserve">, although studies define and measure proficiency differently. A systematic review of 13 studies estimated that about 25 reverse total shoulder arthroplasties were needed to reach an acceptable point on the learning curve. For anatomic arthroplasty, which only two studies had examined, the range was 16 to 86 cases. In a multicenter analysis of operative duration, three of four early-career surgeons reached a plateau between 12 and 86 cases </w:t>
      </w:r>
      <w:r>
        <w:rPr>
          <w:sz w:val="18"/>
          <w:szCs w:val="18"/>
          <w:vertAlign w:val="subscript"/>
          <w:lang w:val="en-US"/>
        </w:rPr>
        <w:t>[83]</w:t>
      </w:r>
      <w:r>
        <w:rPr>
          <w:lang w:val="en-US"/>
        </w:rPr>
        <w:t>. These figures describe learning in those samples, so the framework does not use them as proficiency thresholds and sets no fixed case count of its own.</w:t>
      </w:r>
    </w:p>
    <w:p>
      <w:pPr>
        <w:rPr>
          <w:lang w:val="en-US"/>
        </w:rPr>
      </w:pPr>
      <w:r>
        <w:rPr>
          <w:lang w:val="en-US"/>
        </w:rPr>
        <w:t xml:space="preserve">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 </w:t>
      </w:r>
      <w:r>
        <w:rPr>
          <w:sz w:val="18"/>
          <w:szCs w:val="18"/>
          <w:vertAlign w:val="subscript"/>
          <w:lang w:val="en-US"/>
        </w:rPr>
        <w:t>[37, 39]</w:t>
      </w:r>
      <w:r>
        <w:rPr>
          <w:lang w:val="en-US"/>
        </w:rPr>
        <w:t xml:space="preserve">, while the Clinical Trial Site Performance Measure has no indicator for a surgeon's procedural consistency during a trial </w:t>
      </w:r>
      <w:r>
        <w:rPr>
          <w:sz w:val="18"/>
          <w:szCs w:val="18"/>
          <w:vertAlign w:val="subscript"/>
          <w:lang w:val="en-US"/>
        </w:rPr>
        <w:t>[41]</w:t>
      </w:r>
      <w:r>
        <w:rPr>
          <w:lang w:val="en-US"/>
        </w:rPr>
        <w:t>.</w:t>
      </w:r>
    </w:p>
    <w:p>
      <w:pPr>
        <w:rPr>
          <w:lang w:val="en-US"/>
        </w:rPr>
      </w:pPr>
      <w:r>
        <w:rPr>
          <w:lang w:val="en-US"/>
        </w:rPr>
        <w:t>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comparisons between surgeons, although changes in complexity over time still need to be considered.</w:t>
      </w:r>
    </w:p>
    <w:p>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pPr>
        <w:pStyle w:val="Ttulo3"/>
        <w:rPr>
          <w:lang w:val="en-US"/>
        </w:rPr>
      </w:pPr>
      <w:r>
        <w:rPr>
          <w:lang w:val="en-US"/>
        </w:rPr>
        <w:t>4.3.3 Device-specific complication monitoring</w:t>
      </w:r>
    </w:p>
    <w:p>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pPr>
        <w:rPr>
          <w:lang w:val="en-US"/>
        </w:rPr>
      </w:pPr>
      <w:r>
        <w:rPr>
          <w:lang w:val="en-US"/>
        </w:rPr>
        <w:t>Each event already has a reporting route that begins at the site. ISO 14155:2026 asks the PI to record and categorize every AE and observed DD and to report the serious ones to the sponsor without unjustified delay, with the detail specified in the CIP. Since the fourth edition, an AE associated with a DD follows both the event and deficiency pathways. Under the MDR, the sponsor then reports without delay any serious adverse event (SAE) that has, or may reasonably have, a causal relationship with the device, the comparator, or the investigation procedure. This duty also covers device deficiencies that might have led to an SAE and new findings on these events. These requirements deal with each event on its own, and none of the three instruments compared in this thesis asks the site to review its events together for a pattern.</w:t>
      </w:r>
    </w:p>
    <w:p>
      <w:pPr>
        <w:rPr>
          <w:lang w:val="en-US"/>
        </w:rPr>
      </w:pPr>
      <w:r>
        <w:rPr>
          <w:lang w:val="en-US"/>
        </w:rPr>
        <w:t>Several events with plausible individual explanations may share a cause, such as one implant component or one surgeon. Reviewing them together can reveal that relationship while the site can still act on it. If the review waited for the sponsor's reporting cycle, further cases could be affected before the pattern was recognized.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pPr>
        <w:rPr>
          <w:lang w:val="en-US"/>
        </w:rPr>
      </w:pPr>
      <w:r>
        <w:rPr>
          <w:lang w:val="en-US"/>
        </w:rPr>
        <w:t>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pPr>
        <w:pStyle w:val="Ttulo2"/>
        <w:rPr>
          <w:lang w:val="en-US"/>
        </w:rPr>
      </w:pPr>
      <w:r>
        <w:rPr>
          <w:lang w:val="en-US"/>
        </w:rPr>
        <w:t>4.4 Pillar 3: Operational Controls</w:t>
      </w:r>
    </w:p>
    <w:p>
      <w:pPr>
        <w:rPr>
          <w:lang w:val="en-US"/>
        </w:rPr>
      </w:pPr>
      <w:r>
        <w:rPr>
          <w:lang w:val="en-US"/>
        </w:rPr>
        <w:t>Critical activities need consistent methods and records that allow the site to reconstruct what happened. Operational Controls define how these activities are carried out and checked, in answer to Gap 4, the absence of a monitoring function started and run by the site itself. The pillar answers DR4 and DR7, together with parts of DR6 and DR11. Under the MDR, investigation information has to be recorded and stored so that it can be accurately reported, interpreted, and verified, and the CIP sets the policy on deviations and device accountability. ISO 14155:2026 specifies the requirements for source documents, data, and device accountability at the site.</w:t>
      </w:r>
    </w:p>
    <w:p>
      <w:pPr>
        <w:rPr>
          <w:lang w:val="en-US"/>
        </w:rPr>
      </w:pPr>
      <w:r>
        <w:rPr>
          <w:lang w:val="en-US"/>
        </w:rPr>
        <w:t>The controls address differences between the procedure described in the protocol and its execution by the team. Some differences are difficult for an outside party to identify in time, because local conduct can drift between sponsor visits and variation in imaging may become apparent only when images from different time points are compared. The site therefore needs to check its own work during conduct. It also needs to control the records used for those checks, since additional forms can introduce conflicting versions of the same information.</w:t>
      </w:r>
    </w:p>
    <w:p>
      <w:pPr>
        <w:pStyle w:val="Ttulo3"/>
        <w:rPr>
          <w:lang w:val="en-US"/>
        </w:rPr>
      </w:pPr>
      <w:r>
        <w:rPr>
          <w:lang w:val="en-US"/>
        </w:rPr>
        <w:t>4.4.1 Internal verification of site conduct</w:t>
      </w:r>
    </w:p>
    <w:p>
      <w:pPr>
        <w:rPr>
          <w:lang w:val="en-US"/>
        </w:rPr>
      </w:pPr>
      <w:r>
        <w:rPr>
          <w:lang w:val="en-US"/>
        </w:rPr>
        <w:t xml:space="preserve">The site reviews its conduct and documentation at set intervals to identify and correct failures within its own responsibilities, as DR4 requires. Under the MDR, the sponsor ensures monitoring through a monitor independent of the site. ISO 14155:2026 and ICH E6(R3) also place monitoring within the sponsor's quality control, as does FDA guidance on risk-based monitoring </w:t>
      </w:r>
      <w:r>
        <w:rPr>
          <w:sz w:val="18"/>
          <w:szCs w:val="18"/>
          <w:vertAlign w:val="subscript"/>
          <w:lang w:val="en-US"/>
        </w:rPr>
        <w:t>[84]</w:t>
      </w:r>
      <w:r>
        <w:rPr>
          <w:lang w:val="en-US"/>
        </w:rPr>
        <w:t>. These texts require the site to support monitoring and apply the corrections it receives, but none requires it to check its own conduct between visits (Gap 4). Internal verification covers this interval alongside the sponsor's monitoring, which remains independent of the site.</w:t>
      </w:r>
    </w:p>
    <w:p>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pPr>
        <w:pStyle w:val="PargrafodaLista"/>
        <w:numPr>
          <w:ilvl w:val="0"/>
          <w:numId w:val="12"/>
        </w:numPr>
        <w:ind w:left="0" w:firstLine="1080"/>
        <w:rPr>
          <w:lang w:val="en-US"/>
        </w:rPr>
      </w:pPr>
      <w:r>
        <w:rPr>
          <w:b/>
          <w:lang w:val="en-US"/>
        </w:rPr>
        <w:t>Instrumentation and operating room readiness.</w:t>
      </w:r>
      <w:r>
        <w:rPr>
          <w:lang w:val="en-US"/>
        </w:rPr>
        <w:t xml:space="preserve"> The correct implant system and instrument set were available, and any incompatibility or malfunction is documented as a procedural issue or, where applicable, a DD.</w:t>
      </w:r>
    </w:p>
    <w:p>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pPr>
        <w:pStyle w:val="PargrafodaLista"/>
        <w:numPr>
          <w:ilvl w:val="0"/>
          <w:numId w:val="12"/>
        </w:numPr>
        <w:ind w:left="0" w:firstLine="1080"/>
        <w:rPr>
          <w:lang w:val="en-US"/>
        </w:rPr>
      </w:pPr>
      <w:r>
        <w:rPr>
          <w:b/>
          <w:lang w:val="en-US"/>
        </w:rPr>
        <w:t>External context.</w:t>
      </w:r>
      <w:r>
        <w:rPr>
          <w:lang w:val="en-US"/>
        </w:rPr>
        <w:t xml:space="preserve"> The site reviews literature and registry findings, together with safety alerts and field notices, for the same implant class or procedure.</w:t>
      </w:r>
    </w:p>
    <w:p>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pPr>
        <w:rPr>
          <w:lang w:val="en-US"/>
        </w:rPr>
      </w:pPr>
      <w:r>
        <w:rPr>
          <w:lang w:val="en-US"/>
        </w:rPr>
        <w:t>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pPr>
        <w:pStyle w:val="Ttulo3"/>
        <w:rPr>
          <w:lang w:val="en-US"/>
        </w:rPr>
      </w:pPr>
      <w:r>
        <w:rPr>
          <w:lang w:val="en-US"/>
        </w:rPr>
        <w:t>4.4.2 Imaging standardization</w:t>
      </w:r>
    </w:p>
    <w:p>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 </w:t>
      </w:r>
      <w:r>
        <w:rPr>
          <w:sz w:val="18"/>
          <w:szCs w:val="18"/>
          <w:vertAlign w:val="subscript"/>
          <w:lang w:val="en-US"/>
        </w:rPr>
        <w:t>[61, 66, 85]</w:t>
      </w:r>
      <w:r>
        <w:rPr>
          <w:lang w:val="en-US"/>
        </w:rPr>
        <w:t xml:space="preserve">. Shoulder studies show how sensitive measurements can be to acquisition. In images reconstructed from cadaver scapulae, views only 5 degrees from true anteversion changed the critical shoulder angle by more than 2 degrees </w:t>
      </w:r>
      <w:r>
        <w:rPr>
          <w:sz w:val="18"/>
          <w:szCs w:val="18"/>
          <w:vertAlign w:val="subscript"/>
          <w:lang w:val="en-US"/>
        </w:rPr>
        <w:t>[86]</w:t>
      </w:r>
      <w:r>
        <w:rPr>
          <w:lang w:val="en-US"/>
        </w:rPr>
        <w:t xml:space="preserve">. Another cadaveric study found stable measurements only within about 9 degrees of malrotation </w:t>
      </w:r>
      <w:r>
        <w:rPr>
          <w:sz w:val="18"/>
          <w:szCs w:val="18"/>
          <w:vertAlign w:val="subscript"/>
          <w:lang w:val="en-US"/>
        </w:rPr>
        <w:t>[87]</w:t>
      </w:r>
      <w:r>
        <w:rPr>
          <w:lang w:val="en-US"/>
        </w:rPr>
        <w:t xml:space="preserve">, while only 22% of anteroposterior films in routine practice met the standard projection </w:t>
      </w:r>
      <w:r>
        <w:rPr>
          <w:sz w:val="18"/>
          <w:szCs w:val="18"/>
          <w:vertAlign w:val="subscript"/>
          <w:lang w:val="en-US"/>
        </w:rPr>
        <w:t>[88]</w:t>
      </w:r>
      <w:r>
        <w:rPr>
          <w:lang w:val="en-US"/>
        </w:rPr>
        <w:t xml:space="preserve">. Simulated changes in scapular position produced ranges of 14 and 17 degrees in arthroplasty inclination measures </w:t>
      </w:r>
      <w:r>
        <w:rPr>
          <w:sz w:val="18"/>
          <w:szCs w:val="18"/>
          <w:vertAlign w:val="subscript"/>
          <w:lang w:val="en-US"/>
        </w:rPr>
        <w:t>[89]</w:t>
      </w:r>
      <w:r>
        <w:rPr>
          <w:lang w:val="en-US"/>
        </w:rPr>
        <w:t xml:space="preserve">. With standardized outlet views, the interobserver intraclass correlation coefficient (ICC) for acromiohumeral distance reached 0.91 </w:t>
      </w:r>
      <w:r>
        <w:rPr>
          <w:sz w:val="18"/>
          <w:szCs w:val="18"/>
          <w:vertAlign w:val="subscript"/>
          <w:lang w:val="en-US"/>
        </w:rPr>
        <w:t>[90]</w:t>
      </w:r>
      <w:r>
        <w:rPr>
          <w:lang w:val="en-US"/>
        </w:rPr>
        <w:t>.</w:t>
      </w:r>
    </w:p>
    <w:p>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pPr>
        <w:rPr>
          <w:lang w:val="en-US"/>
        </w:rPr>
      </w:pPr>
      <w:r>
        <w:rPr>
          <w:lang w:val="en-US"/>
        </w:rPr>
        <w:t>Before the first image is acquired, the site defines who reviews images locally, the criteria used, and how nonconforming images are handled, including when a second reviewer 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pPr>
        <w:rPr>
          <w:lang w:val="en-US"/>
        </w:rPr>
      </w:pPr>
      <w:r>
        <w:rPr>
          <w:lang w:val="en-US"/>
        </w:rPr>
        <w:t>The site also schedules imaging within the CIP window at a time when a reproducible position can be obtained. The studies above show that positioning affects measurement and that inadequate positioning is common, but we found no study measuring how often pain, dressings, or a sling prevent reproducible postoperative imaging, so the need to account for these conditions remains an operational inference.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pPr>
        <w:pStyle w:val="Ttulo3"/>
        <w:rPr>
          <w:lang w:val="en-US"/>
        </w:rPr>
      </w:pPr>
      <w:r>
        <w:rPr>
          <w:lang w:val="en-US"/>
        </w:rPr>
        <w:t>4.4.3 Eligibility and follow-up records</w:t>
      </w:r>
    </w:p>
    <w:p>
      <w:pPr>
        <w:rPr>
          <w:lang w:val="en-US"/>
        </w:rPr>
      </w:pPr>
      <w:r>
        <w:rPr>
          <w:lang w:val="en-US"/>
        </w:rPr>
        <w:t>The decision to enroll and each follow-up visit depend on records made for an individual participant. These records protect CtQ domains 2 and 7, participant selection and follow-up retention. The eligibility record also answers the part of DR7 that calls for structured verification of eligibility. In a shoulder investigation, this decision often depends on anatomy interpreted from images and on the planned procedure. An error at inclusion can become irreversible once the implant is in place.</w:t>
      </w:r>
    </w:p>
    <w:p>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pPr>
        <w:rPr>
          <w:lang w:val="en-US"/>
        </w:rPr>
      </w:pPr>
      <w:r>
        <w:rPr>
          <w:lang w:val="en-US"/>
        </w:rPr>
        <w:t>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prescreened. At each review, the site reconciles this log with the eligibility records to account for every candidate. The recorded reasons for non-inclusion feed the enrollment quality indicator under Performance Oversight.</w:t>
      </w:r>
    </w:p>
    <w:p>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pPr>
        <w:pStyle w:val="Ttulo3"/>
        <w:rPr>
          <w:lang w:val="en-US"/>
        </w:rPr>
      </w:pPr>
      <w:r>
        <w:rPr>
          <w:lang w:val="en-US"/>
        </w:rPr>
        <w:t>4.4.4 Source documentation and parallel records</w:t>
      </w:r>
    </w:p>
    <w:p>
      <w:pPr>
        <w:rPr>
          <w:lang w:val="en-US"/>
        </w:rPr>
      </w:pPr>
      <w:r>
        <w:rPr>
          <w:lang w:val="en-US"/>
        </w:rPr>
        <w:t xml:space="preserve">The framework uses the site's existing documentary system for source records. ISO 14155:2026 requires the site team to create and maintain traceable source documents with their type and location documented. ICH E6(R3) also asks the investigator to define, before the trial, what counts as a source record, where it is kept, and how data are captured, while avoiding unnecessary transcription. Agreeing on the source in advance prevents uncertainty about which record is authoritative </w:t>
      </w:r>
      <w:r>
        <w:rPr>
          <w:sz w:val="18"/>
          <w:szCs w:val="18"/>
          <w:vertAlign w:val="subscript"/>
          <w:lang w:val="en-US"/>
        </w:rPr>
        <w:t>[91]</w:t>
      </w:r>
      <w:r>
        <w:rPr>
          <w:lang w:val="en-US"/>
        </w:rPr>
        <w:t>. The site therefore defines the source of each critical datum, whether a clinical record or, where the CIP allows it, the CRF itself. It adapts its existing system to capture and link the records needed across the CtQ domains, from device traceability and operative documentation to imaging and follow-up. The instruments refer to these sources, supporting CtQ domain 11 without introducing a separate documentation system.</w:t>
      </w:r>
    </w:p>
    <w:p>
      <w:pPr>
        <w:rPr>
          <w:lang w:val="en-US"/>
        </w:rPr>
      </w:pPr>
      <w:r>
        <w:rPr>
          <w:lang w:val="en-US"/>
        </w:rPr>
        <w:t>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accountability record, supporting both without replacing them. The log answers the part of DR6 concerned with intraoperative traceability and deviation capture.</w:t>
      </w:r>
    </w:p>
    <w:p>
      <w:pPr>
        <w:rPr>
          <w:lang w:val="en-US"/>
        </w:rPr>
      </w:pPr>
      <w:r>
        <w:rPr>
          <w:lang w:val="en-US"/>
        </w:rPr>
        <w:t>The number of instruments in the framework creates a risk of recording the same information in more than one place, where versions may diverge. Some instruments assemble information that is not brought together elsewhere, such as a surgeon's case sequence or the analysis of a complication signal. Others document how the site works, including delegation and oversight. In either case, information that already has a defined source remains authoritative there. An instrument that needs participant-level information refers to that source and cites it whenever a value is used for a count or comparison. If the two records differ, the source takes precedence.</w:t>
      </w:r>
    </w:p>
    <w:p>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pPr>
        <w:rPr>
          <w:lang w:val="en-US"/>
        </w:rPr>
      </w:pPr>
      <w:r>
        <w:rPr>
          <w:lang w:val="en-US"/>
        </w:rPr>
        <w:t>Using the site's existing records follows DR11 because a parallel documentation system would add work and cost that the target center could have difficulty sustaining. The instruments therefore add local controls within the existing system and use identifiers to link records to the decisions based on them. The Intraoperative Checklist and Device Log (ICDL) holds the record of each procedure (Appendix T).</w:t>
      </w:r>
    </w:p>
    <w:p>
      <w:pPr>
        <w:pStyle w:val="Ttulo2"/>
        <w:rPr>
          <w:lang w:val="en-US"/>
        </w:rPr>
      </w:pPr>
      <w:r>
        <w:rPr>
          <w:lang w:val="en-US"/>
        </w:rPr>
        <w:t>4.5 Pillar 4: Performance Oversight</w:t>
      </w:r>
    </w:p>
    <w:p>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pPr>
        <w:rPr>
          <w:lang w:val="en-US"/>
        </w:rPr>
      </w:pPr>
      <w:r>
        <w:rPr>
          <w:lang w:val="en-US"/>
        </w:rPr>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pPr>
        <w:pStyle w:val="Ttulo3"/>
        <w:rPr>
          <w:lang w:val="en-US"/>
        </w:rPr>
      </w:pPr>
      <w:r>
        <w:rPr>
          <w:lang w:val="en-US"/>
        </w:rPr>
        <w:t>4.5.1 Enrollment quality</w:t>
      </w:r>
    </w:p>
    <w:p>
      <w:pPr>
        <w:rPr>
          <w:lang w:val="en-US"/>
        </w:rPr>
      </w:pPr>
      <w:r>
        <w:rPr>
          <w:lang w:val="en-US"/>
        </w:rPr>
        <w:t>Enrollment quality measures whether each inclusion was correct and supported by evidence available before the decision. An error at this point can affect participant safety and the comparability of the population, which places the indicator in CtQ domain 2. It uses the eligibility records kept under Operational Controls to assess whether the eligibility checks worked. Recruitment volume is recorded separately in the screening log, which counts candidates screened and enrolled.</w:t>
      </w:r>
    </w:p>
    <w:p>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pPr>
        <w:rPr>
          <w:lang w:val="en-US"/>
        </w:rPr>
      </w:pPr>
      <w:r>
        <w:rPr>
          <w:lang w:val="en-US"/>
        </w:rPr>
        <w:t>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 A failure that recurs after this response enters corrective and preventive action.</w:t>
      </w:r>
    </w:p>
    <w:p>
      <w:pPr>
        <w:pStyle w:val="Ttulo3"/>
        <w:rPr>
          <w:lang w:val="en-US"/>
        </w:rPr>
      </w:pPr>
      <w:r>
        <w:rPr>
          <w:lang w:val="en-US"/>
        </w:rPr>
        <w:t>4.5.2 Protocol deviation rate</w:t>
      </w:r>
    </w:p>
    <w:p>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pPr>
        <w:pStyle w:val="Ttulo3"/>
        <w:rPr>
          <w:lang w:val="en-US"/>
        </w:rPr>
      </w:pPr>
      <w:r>
        <w:rPr>
          <w:lang w:val="en-US"/>
        </w:rPr>
        <w:t>4.5.3 Follow-up compliance</w:t>
      </w:r>
    </w:p>
    <w:p>
      <w:pPr>
        <w:rPr>
          <w:lang w:val="en-US"/>
        </w:rPr>
      </w:pPr>
      <w:r>
        <w:rPr>
          <w:lang w:val="en-US"/>
        </w:rPr>
        <w:t>Follow-up compliance measures whether the schedule produces usable data through visits that take place on time and include the required assessments. It covers CtQ domain 7 and the operational demands of repeated ROM assessments, imaging, and PROM completion over several years. The MDR requires the CIP to set procedures for participants lost to follow-up and the sponsor to complete participant follow-up. This indicator assesses the site's contribution using the visit records and their definition of a usable visit.</w:t>
      </w:r>
    </w:p>
    <w:p>
      <w:pPr>
        <w:rPr>
          <w:lang w:val="en-US"/>
        </w:rPr>
      </w:pPr>
      <w:r>
        <w:rPr>
          <w:lang w:val="en-US"/>
        </w:rPr>
        <w:t>For each review period, the site reports four counts, each with its own denominator:</w:t>
      </w:r>
    </w:p>
    <w:p>
      <w:pPr>
        <w:rPr>
          <w:lang w:val="en-US"/>
        </w:rPr>
      </w:pPr>
      <w:r>
        <w:rPr>
          <w:lang w:val="en-US"/>
        </w:rPr>
        <w:t>Visits completed within their window, out of the visits expected.</w:t>
      </w:r>
    </w:p>
    <w:p>
      <w:pPr>
        <w:rPr>
          <w:lang w:val="en-US"/>
        </w:rPr>
      </w:pPr>
      <w:r>
        <w:rPr>
          <w:lang w:val="en-US"/>
        </w:rPr>
        <w:t>Visits containing every component required by the CIP, out of the visits completed.</w:t>
      </w:r>
    </w:p>
    <w:p>
      <w:pPr>
        <w:rPr>
          <w:lang w:val="en-US"/>
        </w:rPr>
      </w:pPr>
      <w:r>
        <w:rPr>
          <w:lang w:val="en-US"/>
        </w:rPr>
        <w:t>Visits missing a component needed for an endpoint, out of the visits that required that component.</w:t>
      </w:r>
    </w:p>
    <w:p>
      <w:pPr>
        <w:rPr>
          <w:lang w:val="en-US"/>
        </w:rPr>
      </w:pPr>
      <w:r>
        <w:rPr>
          <w:lang w:val="en-US"/>
        </w:rPr>
        <w:t>Participants whose follow-up could not be obtained despite documented efforts, out of the participants due for follow-up.</w:t>
      </w:r>
    </w:p>
    <w:p>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pPr>
        <w:rPr>
          <w:lang w:val="en-US"/>
        </w:rPr>
      </w:pPr>
      <w:r>
        <w:rPr>
          <w:lang w:val="en-US"/>
        </w:rPr>
        <w:t>The site reviews trends early enough for reminders, changes in scheduling or visit preparation, and retraining to help protect later visits. A cause related to protocol design goes to the sponsor, and a failure that recurs after the initial response enters corrective and preventive action. The Follow-up Compliance Review (FUCR) records each period's review and the causes assigned to the failures (Appendix V).</w:t>
      </w:r>
    </w:p>
    <w:p>
      <w:pPr>
        <w:pStyle w:val="Ttulo3"/>
        <w:rPr>
          <w:lang w:val="en-US"/>
        </w:rPr>
      </w:pPr>
      <w:r>
        <w:rPr>
          <w:lang w:val="en-US"/>
        </w:rPr>
        <w:t>4.5.4 Safety reporting timeliness</w:t>
      </w:r>
    </w:p>
    <w:p>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pPr>
        <w:rPr>
          <w:lang w:val="en-US"/>
        </w:rPr>
      </w:pPr>
      <w:r>
        <w:rPr>
          <w:lang w:val="en-US"/>
        </w:rPr>
        <w:t>The indicator covers SAEs and DDs that could have led to a SADE. The MDR asks the sponsor to have an agreement under which the investigator reports these events in a timely 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pPr>
        <w:rPr>
          <w:lang w:val="en-US"/>
        </w:rPr>
      </w:pPr>
      <w:r>
        <w:rPr>
          <w:lang w:val="en-US"/>
        </w:rPr>
        <w:t>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 and recurrence after the change enters corrective and preventive action.</w:t>
      </w:r>
    </w:p>
    <w:p>
      <w:pPr>
        <w:pStyle w:val="Ttulo3"/>
        <w:rPr>
          <w:lang w:val="en-US"/>
        </w:rPr>
      </w:pPr>
      <w:r>
        <w:rPr>
          <w:lang w:val="en-US"/>
        </w:rPr>
        <w:t>4.5.5 Surgeon procedural consistency</w:t>
      </w:r>
    </w:p>
    <w:p>
      <w:pPr>
        <w:rPr>
          <w:lang w:val="en-US"/>
        </w:rPr>
      </w:pPr>
      <w:r>
        <w:rPr>
          <w:lang w:val="en-US"/>
        </w:rPr>
        <w:t>For each surgeon and review period, this indicator assesses whether delivery of the investigational procedure is stable and aligned with the CIP. It covers operator dependence in CtQ domains 5 and 6 and gives Performance Oversight a periodic summary of the learning curve required by DR3. The summary draws on the learning curve log, the intraoperative records, and the complication review. It includes unplanned component substitutions and procedural deviations, operative duration in comparable cases, and the senior support or proctoring used. It also records whether implant configuration and position were documented and includes the early technical complications already counted by surgeon in the complication review.</w:t>
      </w:r>
    </w:p>
    <w:p>
      <w:pPr>
        <w:rPr>
          <w:lang w:val="en-US"/>
        </w:rPr>
      </w:pPr>
      <w:r>
        <w:rPr>
          <w:lang w:val="en-US"/>
        </w:rPr>
        <w:t>A substitution may reflect planning or implant availability, case complexity, or the way the procedure was performed. Its interpretation therefore depends on the other records of the case. Operative duration is assessed against cases of comparable complexity, and senior support is expected early in a surgeon's experience with the device. Similarly, a link between an early complication and procedural delivery requires clinical and technical review. The site considers these signals together against the surgeon's own earlier cases, without treating any one signal as proof of poor performance.</w:t>
      </w:r>
    </w:p>
    <w:p>
      <w:pPr>
        <w:rPr>
          <w:lang w:val="en-US"/>
        </w:rPr>
      </w:pPr>
      <w:r>
        <w:rPr>
          <w:lang w:val="en-US"/>
        </w:rPr>
        <w:t xml:space="preserve">The indicator does not rank surgeons, since a comparison would require adjustment for case mix, including previous shoulder surgery, glenoid retroversion, younger age, rheumatoid arthritis, and implant size </w:t>
      </w:r>
      <w:r>
        <w:rPr>
          <w:sz w:val="18"/>
          <w:szCs w:val="18"/>
          <w:vertAlign w:val="subscript"/>
          <w:lang w:val="en-US"/>
        </w:rPr>
        <w:t>[92]</w:t>
      </w:r>
      <w:r>
        <w:rPr>
          <w:lang w:val="en-US"/>
        </w:rPr>
        <w:t xml:space="preserve">. It would also have to account for clustering among participants treated by the same surgeon </w:t>
      </w:r>
      <w:r>
        <w:rPr>
          <w:sz w:val="18"/>
          <w:szCs w:val="18"/>
          <w:vertAlign w:val="subscript"/>
          <w:lang w:val="en-US"/>
        </w:rPr>
        <w:t>[72–74]</w:t>
      </w:r>
      <w:r>
        <w:rPr>
          <w:lang w:val="en-US"/>
        </w:rPr>
        <w:t>, which the small number of cases at a single site seldom allows. These signals therefore prompt a structured clinical review and do not constitute a statistical test.</w:t>
      </w:r>
    </w:p>
    <w:p>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pPr>
        <w:pStyle w:val="Ttulo3"/>
        <w:rPr>
          <w:lang w:val="en-US"/>
        </w:rPr>
      </w:pPr>
      <w:r>
        <w:rPr>
          <w:lang w:val="en-US"/>
        </w:rPr>
        <w:t>4.5.6 Critical data completeness</w:t>
      </w:r>
    </w:p>
    <w:p>
      <w:pPr>
        <w:rPr>
          <w:lang w:val="en-US"/>
        </w:rPr>
      </w:pPr>
      <w:r>
        <w:rPr>
          <w:lang w:val="en-US"/>
        </w:rPr>
        <w:t>Critical data completeness addresses CtQ domain 11 by measuring whether the data needed for the endpoints and safety analysis are available and current during conduct, and whether they agree with their source. Section 4.4.4 described the conditions that ISO 14155:2026 sets for the site's records. We found no clause requiring the site to measure how far its records have departed from those conditions, so this indicator provides that assessment.</w:t>
      </w:r>
    </w:p>
    <w:p>
      <w:pPr>
        <w:rPr>
          <w:lang w:val="en-US"/>
        </w:rPr>
      </w:pPr>
      <w:r>
        <w:rPr>
          <w:lang w:val="en-US"/>
        </w:rPr>
        <w:t>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first recorded outside the CRF, it reports the share of sampled CRF entries that agree with their source.</w:t>
      </w:r>
    </w:p>
    <w:p>
      <w:pPr>
        <w:rPr>
          <w:lang w:val="en-US"/>
        </w:rPr>
      </w:pPr>
      <w:r>
        <w:rPr>
          <w:lang w:val="en-US"/>
        </w:rPr>
        <w:t xml:space="preserve">Reviewing these measures during conduct gives the site time to correct problems. In an analysis of sites flagged by central statistical monitoring and then followed up, data quality improved at 83%, compared with 56% of sites in historical studies without that monitoring </w:t>
      </w:r>
      <w:r>
        <w:rPr>
          <w:sz w:val="18"/>
          <w:szCs w:val="18"/>
          <w:vertAlign w:val="subscript"/>
          <w:lang w:val="en-US"/>
        </w:rPr>
        <w:t>[44]</w:t>
      </w:r>
      <w:r>
        <w:rPr>
          <w:lang w:val="en-US"/>
        </w:rPr>
        <w:t>. This evidence comes from sponsor-level monitoring and supports the decision to act early on a data signal, and the present indicator applies that approach at site level.</w:t>
      </w:r>
    </w:p>
    <w:p>
      <w:pPr>
        <w:rPr>
          <w:lang w:val="en-US"/>
        </w:rPr>
      </w:pPr>
      <w:r>
        <w:rPr>
          <w:lang w:val="en-US"/>
        </w:rPr>
        <w:t>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 A failure that recurs after the initial response enters corrective and preventive action.</w:t>
      </w:r>
    </w:p>
    <w:p>
      <w:pPr>
        <w:pStyle w:val="Ttulo3"/>
        <w:rPr>
          <w:lang w:val="en-US"/>
        </w:rPr>
      </w:pPr>
      <w:r>
        <w:rPr>
          <w:lang w:val="en-US"/>
        </w:rPr>
        <w:t>4.5.7 Closing the loop through corrective and preventive action</w:t>
      </w:r>
    </w:p>
    <w:p>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pPr>
        <w:rPr>
          <w:lang w:val="en-US"/>
        </w:rPr>
      </w:pPr>
      <w:r>
        <w:rPr>
          <w:lang w:val="en-US"/>
        </w:rPr>
        <w:t>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pPr>
        <w:rPr>
          <w:lang w:val="en-US"/>
        </w:rPr>
      </w:pPr>
      <w:r>
        <w:rPr>
          <w:lang w:val="en-US"/>
        </w:rPr>
        <w:t>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ICH E6(R3) requires the sponsor to run this cycle for the trial, including root cause analysis and corrective and preventive action for significant non-compliance, and the framework applies it within the site. The Corrective and Preventive Action Log (CAPA) records each action and its cause, with the effectiveness review and closure (Appendix W).</w:t>
      </w:r>
    </w:p>
    <w:p>
      <w:pPr>
        <w:pStyle w:val="Ttulo2"/>
        <w:rPr>
          <w:lang w:val="en-US"/>
        </w:rPr>
      </w:pPr>
      <w:r>
        <w:rPr>
          <w:lang w:val="en-US"/>
        </w:rPr>
        <w:t>4.6 The quality lifecycle</w:t>
      </w:r>
    </w:p>
    <w:p>
      <w:pPr>
        <w:rPr>
          <w:lang w:val="en-US"/>
        </w:rPr>
      </w:pPr>
      <w:r>
        <w:rPr>
          <w:lang w:val="en-US"/>
        </w:rPr>
        <w:t xml:space="preserve">Current guidance asks that quality be planned before a study begins and managed throughout its lifecycle </w:t>
      </w:r>
      <w:r>
        <w:rPr>
          <w:sz w:val="18"/>
          <w:szCs w:val="18"/>
          <w:vertAlign w:val="subscript"/>
          <w:lang w:val="en-US"/>
        </w:rPr>
        <w:t>[3, 4]</w:t>
      </w:r>
      <w:r>
        <w:rPr>
          <w:lang w:val="en-US"/>
        </w:rPr>
        <w:t>. We applied this principle to the site's work by assigning each instrument to the phase in which it can have most effect, as DR9 requires. The timing is especially important in a surgical investigation. Once an implant is fixed, an error made during surgery cannot be corrected as a transcription error can, so the controls on the surgical pathway must be in place before the first procedure. Similarly, the learning curve log must begin with the surgeon's first case. A log started later may capture stable performance while missing the period of learning that the site needed to observe. Data generated at the point of care, such as the identifiers of an implanted component, must also be recorded when they arise to prevent the loss addressed by DR6.</w:t>
      </w:r>
    </w:p>
    <w:p>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pPr>
        <w:pStyle w:val="Ttulo3"/>
        <w:rPr>
          <w:lang w:val="en-US"/>
        </w:rPr>
      </w:pPr>
      <w:r>
        <w:rPr>
          <w:lang w:val="en-US"/>
        </w:rPr>
        <w:t>4.6.1 Phases, gates, and the safety stream</w:t>
      </w:r>
    </w:p>
    <w:p>
      <w:pPr>
        <w:rPr>
          <w:lang w:val="en-US"/>
        </w:rPr>
      </w:pPr>
      <w:r>
        <w:rPr>
          <w:lang w:val="en-US"/>
        </w:rPr>
        <w:t>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pPr>
        <w:keepNext/>
        <w:rPr>
          <w:lang w:val="en-US"/>
        </w:rPr>
        <w:ind w:firstLine="0"/>
        <w:jc w:val="center"/>
      </w:pPr>
      <w:r w:rsidRPr="00BD4D67"/>
    </w:p>
    <w:p>
      <w:pPr>
        <w:pStyle w:val="Figurecaption"/>
      </w:pPr>
      <w:r>
        <w:rPr>
          <w:b/>
        </w:rPr>
        <w:t>Figure 4.1.</w:t>
      </w:r>
      <w:r>
        <w:t xml:space="preserve"> The quality lifecycle. Seven phases in three groups, with the safety stream running across the phases of conduct; each phase shows its objective, its main actions and checks, and its exit condition.</w:t>
      </w:r>
    </w:p>
    <w:p>
      <w:pPr>
        <w:pStyle w:val="Ttulo3"/>
        <w:rPr>
          <w:lang w:val="en-US"/>
        </w:rPr>
      </w:pPr>
      <w:r>
        <w:rPr>
          <w:lang w:val="en-US"/>
        </w:rPr>
        <w:t>4.6.2 Where each instrument acts</w:t>
      </w:r>
    </w:p>
    <w:p>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pPr>
        <w:keepNext/>
        <w:rPr>
          <w:lang w:val="en-US"/>
        </w:rPr>
        <w:ind w:firstLine="0"/>
        <w:jc w:val="center"/>
      </w:pPr>
      <w:r w:rsidRPr="007F20F2">
        <w:rPr>
          <w:lang w:val="en-US"/>
        </w:rPr>
      </w:r>
    </w:p>
    <w:p>
      <w:pPr>
        <w:pStyle w:val="Figurecaption"/>
      </w:pPr>
      <w:r>
        <w:rPr>
          <w:b/>
        </w:rPr>
        <w:t>Figure 4.2.</w:t>
      </w:r>
      <w:r>
        <w:t xml:space="preserve"> Use of the twenty-four instruments across the lifecycle phases. Open marker, instrument prepared and its rules fixed; filled marker, instrument in use.</w:t>
      </w:r>
    </w:p>
    <w:p>
      <w:pPr>
        <w:rPr>
          <w:lang w:val="en-US"/>
        </w:rPr>
      </w:pPr>
      <w:r>
        <w:rPr>
          <w:lang w:val="en-US"/>
        </w:rPr>
        <w:t>Within start-up, preparation follows the dependencies between instruments. Training requirements and criticality grades must be defined before anyone is released for a task, and release on device training must precede the credentialing decision that uses it. The site also sets the plan for internal verification before the first review.</w:t>
      </w:r>
    </w:p>
    <w:p>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pPr>
        <w:rPr>
          <w:lang w:val="en-US"/>
        </w:rPr>
      </w:pPr>
      <w:r>
        <w:rPr>
          <w:lang w:val="en-US"/>
        </w:rPr>
        <w:t xml:space="preserve">The evidence provides some support for attending to particular phases. Surgical complications may cluster early in a surgeon's learning curve </w:t>
      </w:r>
      <w:r>
        <w:rPr>
          <w:sz w:val="18"/>
          <w:szCs w:val="18"/>
          <w:vertAlign w:val="subscript"/>
          <w:lang w:val="en-US"/>
        </w:rPr>
        <w:t>[22]</w:t>
      </w:r>
      <w:r>
        <w:rPr>
          <w:lang w:val="en-US"/>
        </w:rPr>
        <w:t xml:space="preserve">, and loss to follow-up accumulates over later years </w:t>
      </w:r>
      <w:r>
        <w:rPr>
          <w:sz w:val="18"/>
          <w:szCs w:val="18"/>
          <w:vertAlign w:val="subscript"/>
          <w:lang w:val="en-US"/>
        </w:rPr>
        <w:t>[24]</w:t>
      </w:r>
      <w:r>
        <w:rPr>
          <w:lang w:val="en-US"/>
        </w:rPr>
        <w:t>.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 Effective controls during conduct might also reduce the corrections needed at close-out, but this thesis has not measured that benefit.</w:t>
      </w:r>
    </w:p>
    <w:p>
      <w:pPr>
        <w:pStyle w:val="Ttulo2"/>
        <w:rPr>
          <w:lang w:val="en-US"/>
        </w:rPr>
      </w:pPr>
      <w:r>
        <w:rPr>
          <w:lang w:val="en-US"/>
        </w:rPr>
        <w:t>4.7 The scalability model</w:t>
      </w:r>
    </w:p>
    <w:p>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twenty-four for an academic organization. A site with capacity to use more should do so, and investigation-specific risks may require additions to its minimum set.</w:t>
      </w:r>
    </w:p>
    <w:p>
      <w:pPr>
        <w:rPr>
          <w:lang w:val="en-US"/>
        </w:rPr>
      </w:pPr>
      <w:r>
        <w:rPr>
          <w:lang w:val="en-US"/>
        </w:rPr>
        <w:t>At the minimum level, the clinical staff also perform the research work, without the support of a hospital system or university. The twelve instruments cover the site's existing duties and provide at least one response to each gap. The POT supports oversight, the RACI records assignments, and the TRE and SCR document training release and surgeon authorization. The site opens its risk register before the first participant and follows each safety case in the SART. It also retains the eligibility decision, the intraoperative record, and the log of each image set. Internal verification uses the IMC, follow-up is reviewed in the FUCR, and the PIDLR records lessons at closure.</w:t>
      </w:r>
    </w:p>
    <w:p>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pPr>
        <w:rPr>
          <w:lang w:val="en-US"/>
        </w:rPr>
      </w:pPr>
      <w:r>
        <w:rPr>
          <w:lang w:val="en-US"/>
        </w:rPr>
        <w:t xml:space="preserve">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 </w:t>
      </w:r>
      <w:r>
        <w:rPr>
          <w:sz w:val="18"/>
          <w:szCs w:val="18"/>
          <w:vertAlign w:val="subscript"/>
          <w:lang w:val="en-US"/>
        </w:rPr>
        <w:t>[93, 94]</w:t>
      </w:r>
      <w:r>
        <w:rPr>
          <w:lang w:val="en-US"/>
        </w:rPr>
        <w:t>.</w:t>
      </w:r>
    </w:p>
    <w:p>
      <w:pPr>
        <w:pStyle w:val="Tablecaption"/>
      </w:pPr>
      <w:r>
        <w:rPr>
          <w:b/>
        </w:rPr>
        <w:t>Table 4.2.</w:t>
      </w:r>
      <w:r>
        <w:t xml:space="preserve"> Scalability model: recommended minimum set of instruments at each implementation level and the proxy that takes on the function of each instrument left out.</w:t>
      </w:r>
    </w:p>
    <w:p>
      <w:pPr>
        <w:rPr>
          <w:lang w:val="en-US"/>
        </w:rPr>
        <w:ind w:firstLine="0"/>
        <w:jc w:val="center"/>
      </w:pPr>
      <w:r>
        <w:rPr>
          <w:noProof/>
          <w:lang w:val="en-US"/>
        </w:rPr>
      </w:r>
    </w:p>
    <w:p>
      <w:pPr>
        <w:rPr>
          <w:lang w:val="en-US"/>
        </w:rPr>
      </w:pPr>
      <w:r>
        <w:rPr>
          <w:lang w:val="en-US"/>
        </w:rPr>
        <w:t xml:space="preserve">Organizational category alone does not establish research capacity. In one survey, stakeholders from higher-level hospitals performed better on average, but substantial room for improvement remained </w:t>
      </w:r>
      <w:r>
        <w:rPr>
          <w:sz w:val="18"/>
          <w:szCs w:val="18"/>
          <w:vertAlign w:val="subscript"/>
          <w:lang w:val="en-US"/>
        </w:rPr>
        <w:t>[95]</w:t>
      </w:r>
      <w:r>
        <w:rPr>
          <w:lang w:val="en-US"/>
        </w:rPr>
        <w:t xml:space="preserve">. Hospitals and academic centers also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 Repeated institutional self-assessment has been associated with improved capability to conduct research, although that association was not shown to be causal </w:t>
      </w:r>
      <w:r>
        <w:rPr>
          <w:sz w:val="18"/>
          <w:szCs w:val="18"/>
          <w:vertAlign w:val="subscript"/>
          <w:lang w:val="en-US"/>
        </w:rPr>
        <w:t>[30]</w:t>
      </w:r>
      <w:r>
        <w:rPr>
          <w:lang w:val="en-US"/>
        </w:rPr>
        <w:t>.</w:t>
      </w:r>
    </w:p>
    <w:p>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pPr>
        <w:rPr>
          <w:lang w:val="en-US"/>
        </w:rPr>
      </w:pPr>
      <w:r>
        <w:rPr>
          <w:lang w:val="en-US"/>
        </w:rPr>
        <w:t>Every implementation level must retain the evidence needed to show that the investigation was conducted as required. The MDR requires investigation information to be recorded, handled, and stored so that it can be accurately reported, interpreted, and verified, and requires Member States to inspect investigation sites at an appropriate level. Records must therefore remain complete, consistent, current, and retrievable even at the minimum level. The records required by ISO 14155:2026 and the MDR remain necessary across implementation levels and degrees of risk. They include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pPr>
        <w:pStyle w:val="Ttulo2"/>
        <w:rPr>
          <w:lang w:val="en-US"/>
        </w:rPr>
      </w:pPr>
      <w:r>
        <w:rPr>
          <w:lang w:val="en-US"/>
        </w:rPr>
        <w:t>4.8 The operational instrument set</w:t>
      </w:r>
    </w:p>
    <w:p>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pPr>
        <w:pStyle w:val="Tablecaption"/>
      </w:pPr>
      <w:r>
        <w:rPr>
          <w:b/>
        </w:rPr>
        <w:t>Table 4.3.</w:t>
      </w:r>
      <w:r>
        <w:t xml:space="preserve"> The twenty-four instruments by pillar, with their purpose, inputs and outputs, and the section and appendix where each is developed.</w:t>
      </w:r>
    </w:p>
    <w:p>
      <w:pPr>
        <w:keepNext/>
        <w:rPr>
          <w:lang w:val="en-US"/>
        </w:rPr>
        <w:ind w:firstLine="0"/>
        <w:jc w:val="center"/>
      </w:pPr>
      <w:r>
        <w:rPr>
          <w:noProof/>
          <w:lang w:val="en-US"/>
        </w:rPr>
      </w:r>
    </w:p>
    <w:p>
      <w:pPr>
        <w:keepNext/>
        <w:rPr>
          <w:lang w:val="en-US"/>
        </w:rPr>
        <w:ind w:firstLine="0"/>
        <w:jc w:val="center"/>
      </w:pPr>
      <w:r>
        <w:rPr>
          <w:noProof/>
          <w:lang w:val="en-US"/>
        </w:rPr>
      </w:r>
    </w:p>
    <w:p>
      <w:pPr>
        <w:keepNext/>
        <w:rPr>
          <w:lang w:val="en-US"/>
        </w:rPr>
        <w:ind w:firstLine="0"/>
        <w:jc w:val="center"/>
      </w:pPr>
      <w:r w:rsidRPr="004700B1">
        <w:rPr>
          <w:lang w:val="en-US"/>
        </w:rPr>
      </w:r>
    </w:p>
    <w:p>
      <w:pPr>
        <w:pStyle w:val="Figurecaption"/>
      </w:pPr>
      <w:r>
        <w:rPr>
          <w:b/>
        </w:rPr>
        <w:t>Figure 4.3.</w:t>
      </w:r>
      <w:r>
        <w:t xml:space="preserve"> Levels at which the instruments work, from the record of one event to decisions about how the site runs. Arrows show information moving up and decisions returning as the condition against which the next record is checked.</w:t>
      </w:r>
    </w:p>
    <w:p>
      <w:pPr>
        <w:rPr>
          <w:lang w:val="en-US"/>
        </w:rPr>
      </w:pPr>
      <w:r>
        <w:rPr>
          <w:lang w:val="en-US"/>
        </w:rPr>
        <w:t>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At a lower implementation level, the oversight meeting documented in the POT takes on reviews that a dedicated instrument would otherwise support, such as the learning curve review or the indicators in the PIR. Four of the five clinical records remain as instruments at every level, while an existing record serves as the proxy for the visit record, so the underlying evidence remains when the site uses fewer dedicated instruments for synthesis. The time required for the periodic work of the other nineteen instruments has not been measured in a small team.</w:t>
      </w:r>
    </w:p>
    <w:p>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pPr>
        <w:rPr>
          <w:lang w:val="en-US"/>
        </w:rPr>
      </w:pPr>
      <w:r>
        <w:rPr>
          <w:lang w:val="en-US"/>
        </w:rPr>
        <w:t>The requirements identify a further need to assess whether those controls work. The PIR and FUCR meet DR8 by providing indicators of drift, using information recorded by other 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pPr>
        <w:keepNext/>
        <w:rPr>
          <w:lang w:val="en-US"/>
        </w:rPr>
        <w:ind w:firstLine="0"/>
        <w:jc w:val="center"/>
      </w:pPr>
      <w:r w:rsidRPr="009E00F5">
        <w:rPr>
          <w:lang w:val="en-US"/>
        </w:rPr>
      </w:r>
    </w:p>
    <w:p>
      <w:pPr>
        <w:pStyle w:val="Figurecaption"/>
      </w:pPr>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p>
    <w:p>
      <w:pPr>
        <w:rPr>
          <w:lang w:val="en-US"/>
        </w:rPr>
      </w:pPr>
      <w:r>
        <w:rPr>
          <w:lang w:val="en-US"/>
        </w:rPr>
        <w:t>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framework mainly organizes existing duties, such as delegation and adverse event reporting. Additional controls in these domains also follow a requirement derived in Chapter 3, as the review of complication patterns follows DR8.</w:t>
      </w:r>
    </w:p>
    <w:p>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pPr>
        <w:rPr>
          <w:lang w:val="en-US"/>
        </w:rPr>
      </w:pPr>
      <w:r>
        <w:rPr>
          <w:lang w:val="en-US"/>
        </w:rPr>
        <w:t>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 Adapting them to another surgical specialty would therefore be expected to involve mainly changes to classification lists, although no such adaptation has been tested. The open, editable format allows a site to match the templates to its own documents and adjust fields while retaining the control function of each instrument.</w:t>
      </w:r>
    </w:p>
    <w:p w14:paraId="4A90FEF3" w14:textId="77777777" w:rsidR="00586CAC" w:rsidRPr="00933DA5" w:rsidRDefault="00363464" w:rsidP="00586CAC">
      <w:pPr>
        <w:pStyle w:val="Ttulo1"/>
        <w:rPr>
          <w:lang w:val="en-US"/>
        </w:rPr>
      </w:pPr>
      <w:bookmarkStart w:id="358" w:name="_Toc241922315"/>
      <w:bookmarkStart w:id="359" w:name="_Toc243947306"/>
      <w:r>
        <w:rPr>
          <w:lang w:val="en-US"/>
        </w:rPr>
        <w:t>5. Discussion</w:t>
      </w:r>
      <w:bookmarkStart w:id="360" w:name="_2swjgleg3pt8" w:colFirst="0" w:colLast="0"/>
      <w:bookmarkEnd w:id="358"/>
      <w:bookmarkEnd w:id="359"/>
      <w:bookmarkEnd w:id="360"/>
    </w:p>
    <w:p>
      <w:pPr>
        <w:pStyle w:val="Ttulo2"/>
        <w:rPr>
          <w:lang w:val="en-US"/>
        </w:rPr>
      </w:pPr>
      <w:r>
        <w:rPr>
          <w:lang w:val="en-US"/>
        </w:rPr>
        <w:t>5.1 What the thesis set out to do and what it delivered</w:t>
      </w:r>
    </w:p>
    <w:p>
      <w:pPr>
        <w:rPr>
          <w:lang w:val="en-US"/>
        </w:rPr>
      </w:pPr>
      <w:r>
        <w:rPr>
          <w:lang w:val="en-US"/>
        </w:rPr>
        <w:t xml:space="preserve">The main contribution of this thesis is a quality framework that the investigational site runs for itself during conduct, derived from ICH E6(R3), ISO 14155:2026, and MDR Annex XV </w:t>
      </w:r>
      <w:r>
        <w:rPr>
          <w:sz w:val="18"/>
          <w:szCs w:val="18"/>
          <w:vertAlign w:val="subscript"/>
          <w:lang w:val="en-US"/>
        </w:rPr>
        <w:t>[8, 10]</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 </w:t>
      </w:r>
      <w:r>
        <w:rPr>
          <w:sz w:val="18"/>
          <w:szCs w:val="18"/>
          <w:vertAlign w:val="subscript"/>
          <w:lang w:val="en-US"/>
        </w:rPr>
        <w:t>[6]</w:t>
      </w:r>
      <w:r>
        <w:rPr>
          <w:lang w:val="en-US"/>
        </w:rP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pPr>
        <w:rPr>
          <w:lang w:val="en-US"/>
        </w:rPr>
      </w:pPr>
      <w:r>
        <w:rPr>
          <w:lang w:val="en-US"/>
        </w:rPr>
        <w:t>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pPr>
        <w:rPr>
          <w:lang w:val="en-US"/>
        </w:rPr>
      </w:pPr>
      <w:r>
        <w:rPr>
          <w:lang w:val="en-US"/>
        </w:rP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pPr>
        <w:rPr>
          <w:lang w:val="en-US"/>
        </w:rPr>
      </w:pPr>
      <w:r>
        <w:rPr>
          <w:lang w:val="en-US"/>
        </w:rPr>
        <w:t xml:space="preserve">Gregor and Hevner classify a design contribution by how mature its problem and its solution are, and they call the transfer of a known solution to a new problem an exaptation </w:t>
      </w:r>
      <w:r>
        <w:rPr>
          <w:sz w:val="18"/>
          <w:szCs w:val="18"/>
          <w:vertAlign w:val="subscript"/>
          <w:lang w:val="en-US"/>
        </w:rPr>
        <w:t>[96]</w:t>
      </w:r>
      <w:r>
        <w:rPr>
          <w:lang w:val="en-US"/>
        </w:rPr>
        <w:t xml:space="preserve">. Most of the framework is a contribution of this kind. A documented quality system is an established solution, run by the manufacturer under ISO 13485:2016 and ISO 14971:2019 and by the medical laboratory under ISO 15189:2022 </w:t>
      </w:r>
      <w:r>
        <w:rPr>
          <w:sz w:val="18"/>
          <w:szCs w:val="18"/>
          <w:vertAlign w:val="subscript"/>
          <w:lang w:val="en-US"/>
        </w:rPr>
        <w:t>[57–59]</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pPr>
        <w:pStyle w:val="Ttulo2"/>
        <w:rPr>
          <w:lang w:val="en-US"/>
        </w:rPr>
      </w:pPr>
      <w:r>
        <w:rPr>
          <w:lang w:val="en-US"/>
        </w:rPr>
        <w:t>5.2 Position in the literature</w:t>
      </w:r>
    </w:p>
    <w:p>
      <w:pPr>
        <w:rPr>
          <w:lang w:val="en-US"/>
        </w:rPr>
      </w:pPr>
      <w:r>
        <w:rPr>
          <w:lang w:val="en-US"/>
        </w:rPr>
        <w:t>The works we reviewed address four themes that bear on the framework (Table 5.1), and the text below discusses those that shaped the design.</w:t>
      </w:r>
    </w:p>
    <w:p>
      <w:pPr>
        <w:pStyle w:val="Tablecaption"/>
      </w:pPr>
      <w:r>
        <w:rPr>
          <w:b/>
        </w:rPr>
        <w:t>Table 5.1.</w:t>
      </w:r>
      <w:r>
        <w:t xml:space="preserve"> Prior work on quality in clinical investigations, grouped by theme, with the response of the framework to each theme.</w:t>
      </w:r>
    </w:p>
    <w:p>
      <w:pPr>
        <w:rPr>
          <w:lang w:val="en-US"/>
        </w:rPr>
        <w:ind w:firstLine="0"/>
        <w:jc w:val="center"/>
      </w:pPr>
      <w:r/>
    </w:p>
    <w:p>
      <w:pPr>
        <w:rPr>
          <w:lang w:val="en-US"/>
        </w:rPr>
      </w:pPr>
      <w:r>
        <w:rPr>
          <w:lang w:val="en-US"/>
        </w:rPr>
        <w:t xml:space="preserve">Risk-based quality management was developed for the party that designs and oversees a trial. The EMA reflection paper and the CTTI principles describe how a sponsor identifies critical factors and directs its oversight toward them </w:t>
      </w:r>
      <w:r>
        <w:rPr>
          <w:sz w:val="18"/>
          <w:szCs w:val="18"/>
          <w:vertAlign w:val="subscript"/>
          <w:lang w:val="en-US"/>
        </w:rPr>
        <w:t>[1, 60]</w:t>
      </w:r>
      <w:r>
        <w:rPr>
          <w:lang w:val="en-US"/>
        </w:rPr>
        <w:t xml:space="preserve">, and the MDIC supplement carries the same reasoning to devices </w:t>
      </w:r>
      <w:r>
        <w:rPr>
          <w:sz w:val="18"/>
          <w:szCs w:val="18"/>
          <w:vertAlign w:val="subscript"/>
          <w:lang w:val="en-US"/>
        </w:rPr>
        <w:t>[34]</w:t>
      </w:r>
      <w:r>
        <w:rPr>
          <w:lang w:val="en-US"/>
        </w:rPr>
        <w:t xml:space="preserve">. Sites meet this work through the sponsor, as a monitoring plan that arrives with the protocol </w:t>
      </w:r>
      <w:r>
        <w:rPr>
          <w:sz w:val="18"/>
          <w:szCs w:val="18"/>
          <w:vertAlign w:val="subscript"/>
          <w:lang w:val="en-US"/>
        </w:rPr>
        <w:t>[46]</w:t>
      </w:r>
      <w:r>
        <w:rPr>
          <w:lang w:val="en-US"/>
        </w:rPr>
        <w:t xml:space="preserve">. Only 19.6% of the Portuguese sites in one survey described a tool that captured risk analysis at site level </w:t>
      </w:r>
      <w:r>
        <w:rPr>
          <w:sz w:val="18"/>
          <w:szCs w:val="18"/>
          <w:vertAlign w:val="subscript"/>
          <w:lang w:val="en-US"/>
        </w:rPr>
        <w:t>[82]</w:t>
      </w:r>
      <w:r>
        <w:rPr>
          <w:lang w:val="en-US"/>
        </w:rPr>
        <w:t xml:space="preserve">, and in the RBQM adoption survey identification of CtQ factors was among the least used practices even among sponsors </w:t>
      </w:r>
      <w:r>
        <w:rPr>
          <w:sz w:val="18"/>
          <w:szCs w:val="18"/>
          <w:vertAlign w:val="subscript"/>
          <w:lang w:val="en-US"/>
        </w:rPr>
        <w:t>[13]</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pPr>
        <w:rPr>
          <w:lang w:val="en-US"/>
        </w:rPr>
      </w:pPr>
      <w:r>
        <w:rPr>
          <w:lang w:val="en-US"/>
        </w:rPr>
        <w:t xml:space="preserve">Surgical methodology knows operator learning well and controls it before the trial starts. The challenges reported for surgical quality assurance fall under credentialing and standardization, while monitoring during the trial is rarely implemented </w:t>
      </w:r>
      <w:r>
        <w:rPr>
          <w:sz w:val="18"/>
          <w:szCs w:val="18"/>
          <w:vertAlign w:val="subscript"/>
          <w:lang w:val="en-US"/>
        </w:rPr>
        <w:t>[35]</w:t>
      </w:r>
      <w:r>
        <w:rPr>
          <w:lang w:val="en-US"/>
        </w:rPr>
        <w:t xml:space="preserve">, and the review of arteriovenous graft trials found no trial that assessed technical performance </w:t>
      </w:r>
      <w:r>
        <w:rPr>
          <w:sz w:val="18"/>
          <w:szCs w:val="18"/>
          <w:vertAlign w:val="subscript"/>
          <w:lang w:val="en-US"/>
        </w:rPr>
        <w:t>[39]</w:t>
      </w:r>
      <w:r>
        <w:rPr>
          <w:lang w:val="en-US"/>
        </w:rPr>
        <w:t xml:space="preserve">. Among 247 randomized surgical trials, 39% predefined surgeon credentials and only one analyzed learning </w:t>
      </w:r>
      <w:r>
        <w:rPr>
          <w:sz w:val="18"/>
          <w:szCs w:val="18"/>
          <w:vertAlign w:val="subscript"/>
          <w:lang w:val="en-US"/>
        </w:rPr>
        <w:t>[77]</w:t>
      </w:r>
      <w:r>
        <w:rPr>
          <w:lang w:val="en-US"/>
        </w:rPr>
        <w:t xml:space="preserve">. The IDEAL recommendations already proposed statistical process control to follow learning curves </w:t>
      </w:r>
      <w:r>
        <w:rPr>
          <w:sz w:val="18"/>
          <w:szCs w:val="18"/>
          <w:vertAlign w:val="subscript"/>
          <w:lang w:val="en-US"/>
        </w:rPr>
        <w:t>[18]</w:t>
      </w:r>
      <w:r>
        <w:rPr>
          <w:lang w:val="en-US"/>
        </w:rPr>
        <w:t>,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pPr>
        <w:rPr>
          <w:lang w:val="en-US"/>
        </w:rPr>
      </w:pPr>
      <w:r>
        <w:rPr>
          <w:lang w:val="en-US"/>
        </w:rPr>
        <w:t xml:space="preserve">Site performance is mostly measured by others. The Clinical Trial Site Performance Measure reduced 126 candidate indicators to 18 in six academic hospitals </w:t>
      </w:r>
      <w:r>
        <w:rPr>
          <w:sz w:val="18"/>
          <w:szCs w:val="18"/>
          <w:vertAlign w:val="subscript"/>
          <w:lang w:val="en-US"/>
        </w:rPr>
        <w:t>[41]</w:t>
      </w:r>
      <w:r>
        <w:rPr>
          <w:lang w:val="en-US"/>
        </w:rPr>
        <w:t xml:space="preserve">,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 </w:t>
      </w:r>
      <w:r>
        <w:rPr>
          <w:sz w:val="18"/>
          <w:szCs w:val="18"/>
          <w:vertAlign w:val="subscript"/>
          <w:lang w:val="en-US"/>
        </w:rPr>
        <w:t>[44]</w:t>
      </w:r>
      <w:r>
        <w:rPr>
          <w:lang w:val="en-US"/>
        </w:rPr>
        <w:t xml:space="preserve">, and in implantable cardiac device trials the worst-performing sites improved once a sponsor ranked them </w:t>
      </w:r>
      <w:r>
        <w:rPr>
          <w:sz w:val="18"/>
          <w:szCs w:val="18"/>
          <w:vertAlign w:val="subscript"/>
          <w:lang w:val="en-US"/>
        </w:rPr>
        <w:t>[48]</w:t>
      </w:r>
      <w:r>
        <w:rPr>
          <w:lang w:val="en-US"/>
        </w:rPr>
        <w:t>. In both cases the improvement followed a signal that reached the site from outside, and the framework places the origin of that signal inside the site, earlier in the conduct.</w:t>
      </w:r>
    </w:p>
    <w:p>
      <w:pPr>
        <w:rPr>
          <w:lang w:val="en-US"/>
        </w:rPr>
      </w:pPr>
      <w:r>
        <w:rPr>
          <w:lang w:val="en-US"/>
        </w:rPr>
        <w:t xml:space="preserve">The few quality structures that sites hold today depend on resources. The CTAIM supports an annual self-assessment of a research program's infrastructure </w:t>
      </w:r>
      <w:r>
        <w:rPr>
          <w:sz w:val="18"/>
          <w:szCs w:val="18"/>
          <w:vertAlign w:val="subscript"/>
          <w:lang w:val="en-US"/>
        </w:rPr>
        <w:t>[30]</w:t>
      </w:r>
      <w:r>
        <w:rPr>
          <w:lang w:val="en-US"/>
        </w:rPr>
        <w:t xml:space="preserve">, and Italian trial centers that considered ISO 9001 certification reported organizational workload and insufficient training as the main barriers </w:t>
      </w:r>
      <w:r>
        <w:rPr>
          <w:sz w:val="18"/>
          <w:szCs w:val="18"/>
          <w:vertAlign w:val="subscript"/>
          <w:lang w:val="en-US"/>
        </w:rPr>
        <w:t>[31]</w:t>
      </w:r>
      <w:r>
        <w:rPr>
          <w:lang w:val="en-US"/>
        </w:rPr>
        <w:t xml:space="preserve">. Academic institutions add research management systems and trial units whose senior staff rank quality management among their essential services </w:t>
      </w:r>
      <w:r>
        <w:rPr>
          <w:sz w:val="18"/>
          <w:szCs w:val="18"/>
          <w:vertAlign w:val="subscript"/>
          <w:lang w:val="en-US"/>
        </w:rPr>
        <w:t>[93, 94]</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pPr>
        <w:pStyle w:val="Ttulo2"/>
        <w:rPr>
          <w:lang w:val="en-US"/>
        </w:rPr>
      </w:pPr>
      <w:r>
        <w:rPr>
          <w:lang w:val="en-US"/>
        </w:rPr>
        <w:t>5.3 Putting the framework to work</w:t>
      </w:r>
    </w:p>
    <w:p>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pPr>
        <w:pStyle w:val="Ttulo3"/>
        <w:rPr>
          <w:lang w:val="en-US"/>
        </w:rPr>
      </w:pPr>
      <w:r>
        <w:rPr>
          <w:lang w:val="en-US"/>
        </w:rPr>
        <w:t>5.3.1 A route through the lifecycle</w:t>
      </w:r>
    </w:p>
    <w:p>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pPr>
        <w:rPr>
          <w:lang w:val="en-US"/>
        </w:rPr>
      </w:pPr>
      <w:r>
        <w:rPr>
          <w:lang w:val="en-US"/>
        </w:rPr>
        <w:t>3. The site then prepares and releases people in a fixed order. It sets the training each role requires, through the DTRM or the sponsor's requirements, and records each person's release in the TRE once that training is complete. Each surgeon then receives a credentialing 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pPr>
        <w:rPr>
          <w:lang w:val="en-US"/>
        </w:rPr>
      </w:pPr>
      <w:r>
        <w:rPr>
          <w:lang w:val="en-US"/>
        </w:rPr>
        <w:t>8. Internal verification runs its first review after the first inclusions, earlier than its routine schedule, and the learning curve review follows each surgeon's first cases, while the first safety review takes place soon after the first procedures. Problems of a new workflow are then found while few participants have been exposed to them.</w:t>
      </w:r>
    </w:p>
    <w:p>
      <w:pPr>
        <w:rPr>
          <w:lang w:val="en-US"/>
        </w:rPr>
      </w:pPr>
      <w:r>
        <w:rPr>
          <w:lang w:val="en-US"/>
        </w:rPr>
        <w:t>9. An event that meets an escalation trigger in the CCDM goes to the PI without waiting for the next review, and the POT records the PI's decision.</w:t>
      </w:r>
    </w:p>
    <w:p>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pPr>
        <w:pStyle w:val="Ttulo3"/>
        <w:rPr>
          <w:lang w:val="en-US"/>
        </w:rPr>
      </w:pPr>
      <w:r>
        <w:rPr>
          <w:lang w:val="en-US"/>
        </w:rPr>
        <w:t>5.3.2 The review cycle</w:t>
      </w:r>
    </w:p>
    <w:p>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pPr>
        <w:rPr>
          <w:lang w:val="en-US"/>
        </w:rPr>
      </w:pPr>
      <w:r>
        <w:rPr>
          <w:lang w:val="en-US"/>
        </w:rPr>
        <w:t>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decision in the POT. Corrective action opens when a first response has failed and closes when the indicator that prompted it returns under control.</w:t>
      </w:r>
    </w:p>
    <w:p>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pPr>
        <w:pStyle w:val="Ttulo3"/>
        <w:rPr>
          <w:lang w:val="en-US"/>
        </w:rPr>
      </w:pPr>
      <w:r>
        <w:rPr>
          <w:lang w:val="en-US"/>
        </w:rPr>
        <w:t>5.3.3 Where implementation is likely to fail</w:t>
      </w:r>
    </w:p>
    <w:p>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pPr>
        <w:pStyle w:val="Tablecaption"/>
      </w:pPr>
      <w:r>
        <w:rPr>
          <w:b/>
        </w:rPr>
        <w:t>Table 5.2.</w:t>
      </w:r>
      <w:r>
        <w:t xml:space="preserve"> Most likely failures in operating the framework, by lifecycle phase, with what each failure costs and the guard in the design.</w:t>
      </w:r>
    </w:p>
    <w:p>
      <w:pPr>
        <w:rPr>
          <w:lang w:val="en-US"/>
        </w:rPr>
        <w:ind w:firstLine="0"/>
        <w:jc w:val="center"/>
      </w:pPr>
      <w:r/>
    </w:p>
    <w:p>
      <w:pPr>
        <w:rPr>
          <w:lang w:val="en-US"/>
        </w:rPr>
      </w:pPr>
      <w:r>
        <w:rPr>
          <w:lang w:val="en-US"/>
        </w:rPr>
        <w:t>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pPr>
        <w:pStyle w:val="Ttulo3"/>
        <w:rPr>
          <w:lang w:val="en-US"/>
        </w:rPr>
      </w:pPr>
      <w:r>
        <w:rPr>
          <w:lang w:val="en-US"/>
        </w:rPr>
        <w:t>5.3.4 What the framework is expected to change</w:t>
      </w:r>
    </w:p>
    <w:p>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pPr>
        <w:pStyle w:val="Tablecaption"/>
      </w:pPr>
      <w:r>
        <w:rPr>
          <w:b/>
        </w:rPr>
        <w:t>Table 5.3.</w:t>
      </w:r>
      <w:r>
        <w:t xml:space="preserve"> Expected effects of the framework stated as testable propositions, ordered by the phase in which each effect should first appear.</w:t>
      </w:r>
    </w:p>
    <w:p>
      <w:pPr>
        <w:rPr>
          <w:lang w:val="en-US"/>
        </w:rPr>
        <w:ind w:firstLine="0"/>
        <w:jc w:val="center"/>
      </w:pPr>
      <w:r/>
    </w:p>
    <w:p>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pPr>
        <w:pStyle w:val="Ttulo3"/>
        <w:rPr>
          <w:lang w:val="en-US"/>
        </w:rPr>
      </w:pPr>
      <w:r>
        <w:rPr>
          <w:lang w:val="en-US"/>
        </w:rPr>
        <w:t>5.3.5 Does documentation improve conduct?</w:t>
      </w:r>
    </w:p>
    <w:p>
      <w:pPr>
        <w:rPr>
          <w:lang w:val="en-US"/>
        </w:rPr>
      </w:pPr>
      <w:r>
        <w:rPr>
          <w:lang w:val="en-US"/>
        </w:rPr>
        <w:t>A site can record its conduct impeccably and still conduct itself badly, and nothing in this thesis settles whether documenting a practice improves it. The claim we can defend is narrower, since controls written for a specific activity leave fewer gaps open, so the framework 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pPr>
        <w:pStyle w:val="Ttulo2"/>
        <w:rPr>
          <w:lang w:val="en-US"/>
        </w:rPr>
      </w:pPr>
      <w:r>
        <w:rPr>
          <w:lang w:val="en-US"/>
        </w:rPr>
        <w:t>5.4 Scaling and transfer</w:t>
      </w:r>
    </w:p>
    <w:p>
      <w:pPr>
        <w:rPr>
          <w:lang w:val="en-US"/>
        </w:rPr>
      </w:pPr>
      <w:r>
        <w:rPr>
          <w:lang w:val="en-US"/>
        </w:rPr>
        <w:t xml:space="preserve">Many of the organizations the framework was designed for have no structure dedicated to research. A private site is expected to assemble standard operating procedures and trained staff, together with the infrastructure research requires, before it enters the field </w:t>
      </w:r>
      <w:r>
        <w:rPr>
          <w:sz w:val="18"/>
          <w:szCs w:val="18"/>
          <w:vertAlign w:val="subscript"/>
          <w:lang w:val="en-US"/>
        </w:rPr>
        <w:t>[79]</w:t>
      </w:r>
      <w:r>
        <w:rPr>
          <w:lang w:val="en-US"/>
        </w:rPr>
        <w:t>.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pPr>
        <w:pStyle w:val="Ttulo3"/>
        <w:rPr>
          <w:lang w:val="en-US"/>
        </w:rPr>
      </w:pPr>
      <w:r>
        <w:rPr>
          <w:lang w:val="en-US"/>
        </w:rPr>
        <w:t>5.4.1 The minimum level and its trade-offs</w:t>
      </w:r>
    </w:p>
    <w:p>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pPr>
        <w:pStyle w:val="Ttulo3"/>
        <w:rPr>
          <w:lang w:val="en-US"/>
        </w:rPr>
      </w:pPr>
      <w:r>
        <w:rPr>
          <w:lang w:val="en-US"/>
        </w:rPr>
        <w:t>5.4.2 Instruments that outlive the investigation</w:t>
      </w:r>
    </w:p>
    <w:p>
      <w:pPr>
        <w:rPr>
          <w:lang w:val="en-US"/>
        </w:rPr>
      </w:pPr>
      <w:r>
        <w:rPr>
          <w:lang w:val="en-US"/>
        </w:rPr>
        <w:t>Chapter 4 describes the framework for a single investigation, while many sites conduct several, either at once or one after another. Some instruments belong to the site and are kept across investigations, and some keep a site structure that each investigation fills with its own content. The rest are opened again for every investigation (Table 5.4).</w:t>
      </w:r>
    </w:p>
    <w:p>
      <w:pPr>
        <w:pStyle w:val="Tablecaption"/>
      </w:pPr>
      <w:r>
        <w:rPr>
          <w:b/>
        </w:rPr>
        <w:t>Table 5.4.</w:t>
      </w:r>
      <w:r>
        <w:t xml:space="preserve"> The twenty-four instruments by persistence across investigations.</w:t>
      </w:r>
    </w:p>
    <w:p>
      <w:pPr>
        <w:rPr>
          <w:lang w:val="en-US"/>
        </w:rPr>
        <w:ind w:firstLine="0"/>
        <w:jc w:val="center"/>
      </w:pPr>
      <w:r/>
    </w:p>
    <w:p>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pPr>
        <w:rPr>
          <w:lang w:val="en-US"/>
        </w:rPr>
      </w:pPr>
      <w:r>
        <w:rPr>
          <w:highlight w:val="yellow"/>
          <w:lang w:val="en-US"/>
        </w:rPr>
        <w:t>[Number to compute from the final registry dataset: organizations in the sample with more than one investigation, overall and among nonhospital organizations.]</w:t>
      </w:r>
    </w:p>
    <w:p>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pPr>
        <w:pStyle w:val="Ttulo3"/>
        <w:rPr>
          <w:lang w:val="en-US"/>
        </w:rPr>
      </w:pPr>
      <w:r>
        <w:rPr>
          <w:lang w:val="en-US"/>
        </w:rPr>
        <w:t>5.4.3 Transfer to other specialties</w:t>
      </w:r>
    </w:p>
    <w:p>
      <w:pPr>
        <w:rPr>
          <w:lang w:val="en-US"/>
        </w:rPr>
      </w:pPr>
      <w:r>
        <w:rPr>
          <w:lang w:val="en-US"/>
        </w:rPr>
        <w:t>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pPr>
        <w:pStyle w:val="Ttulo3"/>
        <w:rPr>
          <w:lang w:val="en-US"/>
        </w:rPr>
      </w:pPr>
      <w:r>
        <w:rPr>
          <w:lang w:val="en-US"/>
        </w:rPr>
        <w:t>5.4.4 Transfer to other jurisdictions and editions</w:t>
      </w:r>
    </w:p>
    <w:p>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pPr>
        <w:rPr>
          <w:lang w:val="en-US"/>
        </w:rPr>
      </w:pPr>
      <w:r>
        <w:rPr>
          <w:lang w:val="en-US"/>
        </w:rPr>
        <w:t xml:space="preserve">Under 21 CFR Part 812, the investigator reports an unanticipated adverse device effect to the sponsor and to the institutional review board within ten working days of first learning of it </w:t>
      </w:r>
      <w:r>
        <w:rPr>
          <w:sz w:val="18"/>
          <w:szCs w:val="18"/>
          <w:vertAlign w:val="subscript"/>
          <w:lang w:val="en-US"/>
        </w:rPr>
        <w:t>[12]</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pPr>
        <w:rPr>
          <w:lang w:val="en-US"/>
        </w:rPr>
      </w:pPr>
      <w:r>
        <w:rPr>
          <w:lang w:val="en-US"/>
        </w:rPr>
        <w:t xml:space="preserve">Within the European Union, the version of ISO 14155 with a presumption of conformity under the MDR is still EN ISO 14155:2020+A11:2024 </w:t>
      </w:r>
      <w:r>
        <w:rPr>
          <w:sz w:val="18"/>
          <w:szCs w:val="18"/>
          <w:vertAlign w:val="subscript"/>
          <w:lang w:val="en-US"/>
        </w:rPr>
        <w:t>[9]</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pPr>
        <w:pStyle w:val="Ttulo2"/>
        <w:rPr>
          <w:lang w:val="en-US"/>
        </w:rPr>
      </w:pPr>
      <w:r>
        <w:rPr>
          <w:lang w:val="en-US"/>
        </w:rPr>
        <w:t>5.5 Implications</w:t>
      </w:r>
    </w:p>
    <w:p>
      <w:pPr>
        <w:pStyle w:val="Ttulo3"/>
        <w:rPr>
          <w:lang w:val="en-US"/>
        </w:rPr>
      </w:pPr>
      <w:r>
        <w:rPr>
          <w:lang w:val="en-US"/>
        </w:rPr>
        <w:t>5.5.1 For the investigational site</w:t>
      </w:r>
    </w:p>
    <w:p>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pPr>
        <w:rPr>
          <w:lang w:val="en-US"/>
        </w:rPr>
      </w:pPr>
      <w:r>
        <w:rPr>
          <w:lang w:val="en-US"/>
        </w:rPr>
        <w:t xml:space="preserve">That account costs staff time, and the way sites are paid decides whether anyone covers it. Research payments from industry are expected to reflect the fair market value of the work performed </w:t>
      </w:r>
      <w:r>
        <w:rPr>
          <w:sz w:val="18"/>
          <w:szCs w:val="18"/>
          <w:vertAlign w:val="subscript"/>
          <w:lang w:val="en-US"/>
        </w:rPr>
        <w:t>[98]</w:t>
      </w:r>
      <w:r>
        <w:rPr>
          <w:lang w:val="en-US"/>
        </w:rPr>
        <w:t xml:space="preserve">, and site budgets are negotiated item by item with the sponsor. In one review of ten industry-sponsored trials, the final budgets exceeded the sponsors' initial proposals by 59% on average, and the costs of preparing the trial were among the items that changed most </w:t>
      </w:r>
      <w:r>
        <w:rPr>
          <w:sz w:val="18"/>
          <w:szCs w:val="18"/>
          <w:vertAlign w:val="subscript"/>
          <w:lang w:val="en-US"/>
        </w:rPr>
        <w:t>[99]</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pPr>
        <w:pStyle w:val="Ttulo3"/>
        <w:rPr>
          <w:lang w:val="en-US"/>
        </w:rPr>
      </w:pPr>
      <w:r>
        <w:rPr>
          <w:lang w:val="en-US"/>
        </w:rPr>
        <w:t>5.5.2 For sponsors, contract research organizations, and monitors</w:t>
      </w:r>
    </w:p>
    <w:p>
      <w:pPr>
        <w:rPr>
          <w:lang w:val="en-US"/>
        </w:rPr>
      </w:pPr>
      <w:r>
        <w:rPr>
          <w:lang w:val="en-US"/>
        </w:rPr>
        <w:t>The framework is meant to complement the sponsor's quality system. It does not duplicate sponsor monitoring, which would consume resources the target center does not have, and it is not absorbed into the sponsor's system, which would remove the site layer it exists to create. The two systems work at different levels, since the sponsor oversees a trial across many sites and the site controls its own processes. The structure of the framework belongs to the site and serves every investigation it conducts, whatever the sponsor, while its content adapts to each investigation, from the CtQ factors and reporting intervals of the CIP to the templates and systems the sponsor requires.</w:t>
      </w:r>
    </w:p>
    <w:p>
      <w:pPr>
        <w:rPr>
          <w:lang w:val="en-US"/>
        </w:rPr>
      </w:pPr>
      <w:r>
        <w:rPr>
          <w:lang w:val="en-US"/>
        </w:rPr>
        <w:t xml:space="preserve">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 </w:t>
      </w:r>
      <w:r>
        <w:rPr>
          <w:sz w:val="18"/>
          <w:szCs w:val="18"/>
          <w:vertAlign w:val="subscript"/>
          <w:lang w:val="en-US"/>
        </w:rPr>
        <w:t>[43]</w:t>
      </w:r>
      <w:r>
        <w:rPr>
          <w:lang w:val="en-US"/>
        </w:rPr>
        <w:t>, and the framework builds some of them. We found no study measuring how much monitoring time this saves.</w:t>
      </w:r>
    </w:p>
    <w:p>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pPr>
        <w:rPr>
          <w:lang w:val="en-US"/>
        </w:rPr>
      </w:pPr>
      <w:r>
        <w:rPr>
          <w:lang w:val="en-US"/>
        </w:rPr>
        <w:t xml:space="preserve">Only one of 247 randomized surgical trials analyzed learning effects </w:t>
      </w:r>
      <w:r>
        <w:rPr>
          <w:sz w:val="18"/>
          <w:szCs w:val="18"/>
          <w:vertAlign w:val="subscript"/>
          <w:lang w:val="en-US"/>
        </w:rPr>
        <w:t>[77]</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pPr>
        <w:pStyle w:val="Ttulo3"/>
        <w:rPr>
          <w:lang w:val="en-US"/>
        </w:rPr>
      </w:pPr>
      <w:r>
        <w:rPr>
          <w:lang w:val="en-US"/>
        </w:rPr>
        <w:t>5.5.3 For standards and regulators</w:t>
      </w:r>
    </w:p>
    <w:p>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pPr>
        <w:pStyle w:val="Ttulo3"/>
        <w:rPr>
          <w:lang w:val="en-US"/>
        </w:rPr>
      </w:pPr>
      <w:r>
        <w:rPr>
          <w:lang w:val="en-US"/>
        </w:rPr>
        <w:t>5.5.4 Ethical implications</w:t>
      </w:r>
    </w:p>
    <w:p>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 </w:t>
      </w:r>
      <w:r>
        <w:rPr>
          <w:sz w:val="18"/>
          <w:szCs w:val="18"/>
          <w:vertAlign w:val="subscript"/>
          <w:lang w:val="en-US"/>
        </w:rPr>
        <w:t>[72, 73]</w:t>
      </w:r>
      <w:r>
        <w:rPr>
          <w:lang w:val="en-US"/>
        </w:rPr>
        <w:t xml:space="preserve"> that a single site rarely allows.</w:t>
      </w:r>
    </w:p>
    <w:p>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pPr>
        <w:pStyle w:val="Ttulo2"/>
        <w:rPr>
          <w:lang w:val="en-US"/>
        </w:rPr>
      </w:pPr>
      <w:r>
        <w:rPr>
          <w:lang w:val="en-US"/>
        </w:rPr>
        <w:t>5.6 Evaluation, limitations, and further research</w:t>
      </w:r>
    </w:p>
    <w:p>
      <w:pPr>
        <w:pStyle w:val="Ttulo3"/>
        <w:rPr>
          <w:lang w:val="en-US"/>
        </w:rPr>
      </w:pPr>
      <w:r>
        <w:rPr>
          <w:lang w:val="en-US"/>
        </w:rPr>
        <w:t>5.6.1 The evaluation this thesis performed</w:t>
      </w:r>
    </w:p>
    <w:p>
      <w:pPr>
        <w:rPr>
          <w:lang w:val="en-US"/>
        </w:rPr>
      </w:pPr>
      <w:r>
        <w:rPr>
          <w:lang w:val="en-US"/>
        </w:rPr>
        <w:t xml:space="preserve">The Design Science Research Methodology has six activities, and this thesis reports the first three, which run from problem identification to design and development, together with the last, communication </w:t>
      </w:r>
      <w:r>
        <w:rPr>
          <w:sz w:val="18"/>
          <w:szCs w:val="18"/>
          <w:vertAlign w:val="subscript"/>
          <w:lang w:val="en-US"/>
        </w:rPr>
        <w:t>[49]</w:t>
      </w:r>
      <w:r>
        <w:rPr>
          <w:lang w:val="en-US"/>
        </w:rPr>
        <w:t xml:space="preserve">.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 </w:t>
      </w:r>
      <w:r>
        <w:rPr>
          <w:sz w:val="18"/>
          <w:szCs w:val="18"/>
          <w:vertAlign w:val="subscript"/>
          <w:lang w:val="en-US"/>
        </w:rPr>
        <w:t>[100]</w:t>
      </w:r>
      <w:r>
        <w:rPr>
          <w:lang w:val="en-US"/>
        </w:rPr>
        <w:t xml:space="preserve">.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 </w:t>
      </w:r>
      <w:r>
        <w:rPr>
          <w:sz w:val="18"/>
          <w:szCs w:val="18"/>
          <w:vertAlign w:val="subscript"/>
          <w:lang w:val="en-US"/>
        </w:rPr>
        <w:t>[101]</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pPr>
        <w:pStyle w:val="Ttulo3"/>
        <w:rPr>
          <w:lang w:val="en-US"/>
        </w:rPr>
      </w:pPr>
      <w:r>
        <w:rPr>
          <w:lang w:val="en-US"/>
        </w:rPr>
        <w:t>5.6.2 Limitations</w:t>
      </w:r>
    </w:p>
    <w:p>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pPr>
        <w:pStyle w:val="Ttulo3"/>
        <w:rPr>
          <w:lang w:val="en-US"/>
        </w:rPr>
      </w:pPr>
      <w:r>
        <w:rPr>
          <w:lang w:val="en-US"/>
        </w:rPr>
        <w:t>5.6.3 Further research</w:t>
      </w:r>
    </w:p>
    <w:p>
      <w:pPr>
        <w:rPr>
          <w:lang w:val="en-US"/>
        </w:rPr>
      </w:pPr>
      <w:r>
        <w:rPr>
          <w:lang w:val="en-US"/>
        </w:rPr>
        <w:t xml:space="preserve">The framework has completed the development phase of a complex intervention, and the phases that follow, from feasibility to implementation, do not have to come in strict order </w:t>
      </w:r>
      <w:r>
        <w:rPr>
          <w:sz w:val="18"/>
          <w:szCs w:val="18"/>
          <w:vertAlign w:val="subscript"/>
          <w:lang w:val="en-US"/>
        </w:rPr>
        <w:t>[102]</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pPr>
        <w:rPr>
          <w:lang w:val="en-US"/>
        </w:rPr>
      </w:pPr>
      <w:r>
        <w:rPr>
          <w:lang w:val="en-US"/>
        </w:rPr>
        <w:t xml:space="preserve">Before-and-after comparisons at one site are likely to report an improvement whatever the framework does. In surgical oncology, 86 of 97 non-randomized studies of quality improvement reported a positive effect, against 2 of 12 randomized trials </w:t>
      </w:r>
      <w:r>
        <w:rPr>
          <w:sz w:val="18"/>
          <w:szCs w:val="18"/>
          <w:vertAlign w:val="subscript"/>
          <w:lang w:val="en-US"/>
        </w:rPr>
        <w:t>[40]</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rPr>
          <w:lang w:val="en-US"/>
        </w:rPr>
      </w:pPr>
      <w:bookmarkStart w:id="375" w:name="_Toc241922323"/>
      <w:bookmarkStart w:id="376" w:name="_Toc243947314"/>
      <w:r>
        <w:rPr>
          <w:lang w:val="en-US"/>
        </w:rPr>
        <w:t>6. Conclusion</w:t>
      </w:r>
      <w:bookmarkEnd w:id="375"/>
      <w:bookmarkEnd w:id="376"/>
    </w:p>
    <w:p>
      <w:pPr>
        <w:rPr>
          <w:lang w:val="en-US"/>
        </w:rPr>
      </w:pPr>
      <w:r>
        <w:rPr>
          <w:lang w:val="en-US"/>
        </w:rPr>
        <w:t xml:space="preserve">This thesis asked what structure an investigational site can use to carry its part of the responsibility for quality during the conduct of a shoulder device investigation. ICH E6(R3) and ISO 14155:2026 </w:t>
      </w:r>
      <w:r>
        <w:rPr>
          <w:sz w:val="18"/>
          <w:szCs w:val="18"/>
          <w:vertAlign w:val="subscript"/>
          <w:lang w:val="en-US"/>
        </w:rPr>
        <w:t>[6, 8]</w:t>
      </w:r>
      <w:r>
        <w:rPr>
          <w:lang w:val="en-US"/>
        </w:rPr>
        <w:t xml:space="preserve"> give the investigator duties that run for the whole investigation while formal quality management stays with the sponsor, so a site can conduct an investigation well and still hold no account of how it controlled that conduct. The answer of the thesis is a site-centered operational quality framework. Its four pillars, Governance, Risk Management, Operational Controls, and Performance Oversight, are carried by twenty-four instruments that a site can run on paper or within the systems it already uses, organized in time by a seven-phase lifecycle and in extent by three implementation levels.</w:t>
      </w:r>
    </w:p>
    <w:p>
      <w:pPr>
        <w:rPr>
          <w:lang w:val="en-US"/>
        </w:rPr>
      </w:pPr>
      <w:r>
        <w:rPr>
          <w:lang w:val="en-US"/>
        </w:rPr>
        <w:t xml:space="preserve">The four objectives were met at the level of design, starting with the clause-by-clause comparison of ICH E6(R3), ISO 14155:2026, and MDR Annex XV </w:t>
      </w:r>
      <w:r>
        <w:rPr>
          <w:sz w:val="18"/>
          <w:szCs w:val="18"/>
          <w:vertAlign w:val="subscript"/>
          <w:lang w:val="en-US"/>
        </w:rPr>
        <w:t>[10]</w:t>
      </w:r>
      <w:r>
        <w:rPr>
          <w:lang w:val="en-US"/>
        </w:rPr>
        <w:t>, which found five site-level gaps. The most consequential is that no text gives the site a role in observing a surgeon's proficiency once the investigation has started. From these gaps and the literature, together with the operating conditions of the target center, we derived twelve site-level CtQ domains and twelve design requirements, and each component of the framework traces back to one of them. The design also needed elements that the objectives had not foreseen, since the timing of a control proved as important as its content in a surgical investigation, and a set of records proved useful only when it led to decisions about how the site works.</w:t>
      </w:r>
    </w:p>
    <w:p>
      <w:pPr>
        <w:rPr>
          <w:lang w:val="en-US"/>
        </w:rPr>
      </w:pPr>
      <w:r>
        <w:rPr>
          <w:lang w:val="en-US"/>
        </w:rPr>
        <w:t>The one empirical finding of the thesis came from the registry analysis. In industry-sponsored investigations of implantable shoulder devices, nonhospital organizations such as independent orthopedic practices and ambulatory centers hosted 108 of the 347 site records (31.1%), and most of these organizations were located in the United States. The finding describes where the investigations take place and says nothing about how well these organizations conduct them. It made the nonhospital organization the design case, so the framework was built to work first where it can assume the least support.</w:t>
      </w:r>
    </w:p>
    <w:p>
      <w:pPr>
        <w:rPr>
          <w:lang w:val="en-US"/>
        </w:rPr>
      </w:pPr>
      <w:r>
        <w:rPr>
          <w:lang w:val="en-US"/>
        </w:rPr>
        <w:t>Most of the framework brings to the site a solution that the manufacturer and the medical laboratory already use, a documented quality system, and in that sense it organizes duties the site already holds. Its most original part is the observation of the surgeon during conduct, which no clause requires and which the surgical trials literature handles at entry. The framework asks the site to act as a proactive quality agent for the risks that only it can see, while the sponsor keeps the design of the investigation and final responsibility stays where the regulations place it. It is meant to sit alongside the sponsor's quality system, with a structure that belongs to the site and serves every investigation it conducts, and with content that comes from each investigation and its sponsor.</w:t>
      </w:r>
    </w:p>
    <w:p>
      <w:pPr>
        <w:rPr>
          <w:lang w:val="en-US"/>
        </w:rPr>
      </w:pPr>
      <w:r>
        <w:rPr>
          <w:lang w:val="en-US"/>
        </w:rPr>
        <w:t>The discussion added practical results to the design, beginning with the order in which a site starts the instruments from the decision at feasibility to the lessons recorded at close-out. Review frequencies are set by the site itself, except where the risk depends on timing, as with the learning curve. It also showed that much of the framework belongs to the site and passes from one investigation to the next, so the cost of setting it up falls mostly on the first investigation. The work that grows with the number of cases is the work for which the site is already paid. Transfer to other implant-based specialties and to the regulation of the United States, where most of the nonhospital organizations in the registry operate, is plausible and untested.</w:t>
      </w:r>
    </w:p>
    <w:p>
      <w:pPr>
        <w:rPr>
          <w:lang w:val="en-US"/>
        </w:rPr>
      </w:pPr>
      <w:r>
        <w:rPr>
          <w:lang w:val="en-US"/>
        </w:rPr>
        <w:t>No site has operated the framework, so every claim about its effects remains an expectation. The thesis reports four of the six activities of the Design Science Research Methodology, and its only evaluation checked the design against the knowledge it was built from. The next step is a demonstration that runs the full set through a simulated or retrospective case series, followed by a content review with sites, monitors, and surgeons and a feasibility study in a nonhospital organization and a hospital. The effects of the framework on conduct should then be evaluated with a concurrent comparison, because comparisons before and after adoption at one site are likely to report an improvement whatever the framework does.</w:t>
      </w:r>
    </w:p>
    <w:p>
      <w:pPr>
        <w:rPr>
          <w:lang w:val="en-US"/>
        </w:rPr>
      </w:pPr>
      <w:r>
        <w:rPr>
          <w:lang w:val="en-US"/>
        </w:rPr>
        <w:t>The revisions of ICH guidance have moved toward asking each party responsible for quality to show how its processes find and control risk, and the investigational site is now one of those parties without a described way to do so. This thesis offers one way, derived from the texts that govern device investigations and shaped so that a center with one investigator and one coordinator can run it. Whether such centers will adopt it, and whether it changes what happens to participants and to the data they provide, is the question the next study has to answer.</w:t>
      </w:r>
    </w:p>
    <w:p w14:paraId="134ACB11" w14:textId="77777777" w:rsidR="00586CAC" w:rsidRPr="00933DA5" w:rsidRDefault="00586CAC">
      <w:pPr>
        <w:pStyle w:val="Ttulo1"/>
        <w:rPr>
          <w:sz w:val="48"/>
          <w:szCs w:val="48"/>
          <w:lang w:val="en-US"/>
        </w:rPr>
      </w:pPr>
      <w:bookmarkStart w:id="377" w:name="_314n1k2ozdfp" w:colFirst="0" w:colLast="0"/>
      <w:bookmarkEnd w:id="377"/>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rPr>
          <w:lang w:val="en-US"/>
        </w:rPr>
      </w:pPr>
      <w:bookmarkStart w:id="378" w:name="_Toc241922324"/>
      <w:bookmarkStart w:id="379" w:name="_Toc243947315"/>
      <w:r>
        <w:rPr>
          <w:sz w:val="48"/>
          <w:szCs w:val="48"/>
          <w:lang w:val="en-US"/>
        </w:rPr>
        <w:t>References</w:t>
      </w:r>
      <w:bookmarkEnd w:id="378"/>
      <w:bookmarkEnd w:id="379"/>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64C856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Bhatt A. Quality of Clinical Trials: A Moving Target. Perspectives in Clinical Research. 2011;2(4):124–8. doi:10.4103/2229-3485.86880 PubMed PMID: 22145122; PubMed Central PMCID: PMC3227329.</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Buccheri S, James S, Mafham M, Landray M, Melvin T, Oldgren J, et al. Large Simple Randomized Controlled Trials—from Drugs to Medical Devices: Lessons from Recent Experience. Trials. 2025;26(1):24. doi:10.1186/s13063-025-08724-x PubMed PMID: 39833917.</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F85D1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Rossier L, Snäkä T, Graciotti M, Hernandez M, Matzinger O, Bernier J, et al. Clinical Research in Private Hospitals: A Perspective. Journal of Translational Medicine. 2026;24(1):151. doi:10.1186/s12967-025-07542-8 PubMed PMID: 41507951.</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B79857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Anderson C, Young PA, Berenbaum A. Food and Drug Administration Guidance: Supervisory Responsibilities of Investigators. Journal of Diabetes Science and Technology. 2011;5(2):433–8. doi:10.1177/193229681100500234 PubMed PMID: 21527116.</w:t>
      </w:r>
    </w:p>
    <w:p w14:paraId="500250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Feehan AK, Garcia-Diaz J. Investigator Responsibilities in Clinical Research. Ochsner Journal. 2020;20(1):44–9. doi:10.31486/toj.19.0085 PubMed PMID: 32284682.</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Gottlieb K, Daperno M, Usiskin K, Sands BE, Ahmad H, Howden CW, et al. Endoscopy and Central Reading in Inflammatory Bowel Disease Clinical Trials: Achievements, Challenges and Future Developments. Gut. 2021;70(2):418–26. doi:10.1136/gutjnl-2020-320690 PubMed PMID: 32699100.</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77FF4E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Bouaicha S, Hoch A, Jentzsch T, Moor BK. Impact of Vertical and Horizontal Malrotation on Measurements of Anteroposterior Radiographs of the Scapula: Need for Standardized Images in Modern Omometry. Journal of Shoulder and Elbow Surgery. 2018;27(4):659–66. doi:10.1016/j.jse.2017.10.006 PubMed PMID: 29329902.</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 PubMed PMID: 38108167.</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25793A2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 W, Ailimu K, Jia N, Chu H, Zhao Y, Tao L, et al. Stakeholder Perception of Quality Management of Investigator-Initiated Clinical Trials. BMC Medical Ethics. 2026;27(1):10. doi:10.1186/s12910-025-01354-7 PubMed PMID: 41469650.</w:t>
      </w:r>
    </w:p>
    <w:p>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pPr>
      <w:bookmarkStart w:id="380" w:name="_Toc241922325"/>
      <w:bookmarkStart w:id="381" w:name="_Toc243947316"/>
      <w:r>
        <w:lastRenderedPageBreak/>
        <w:t>Appendices</w:t>
      </w:r>
      <w:bookmarkEnd w:id="380"/>
      <w:bookmarkEnd w:id="381"/>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pPr>
      <w:bookmarkStart w:id="382" w:name="_Toc241922326"/>
      <w:bookmarkStart w:id="383" w:name="_Toc243947317"/>
      <w:r>
        <w:t>Appendix A</w:t>
      </w:r>
      <w:bookmarkEnd w:id="382"/>
      <w:bookmarkEnd w:id="383"/>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t>[Template pending]</w:t>
      </w:r>
    </w:p>
    <w:p w14:paraId="70B622E1" w14:textId="77777777" w:rsidR="00B87111" w:rsidRDefault="00363464">
      <w:pPr>
        <w:pStyle w:val="Ttulo2"/>
      </w:pPr>
      <w:bookmarkStart w:id="384" w:name="_Toc241922327"/>
      <w:bookmarkStart w:id="385" w:name="_Toc243947318"/>
      <w:r>
        <w:t>Appendix B</w:t>
      </w:r>
      <w:bookmarkEnd w:id="384"/>
      <w:bookmarkEnd w:id="385"/>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pPr>
      <w:bookmarkStart w:id="386" w:name="_Toc241922328"/>
      <w:bookmarkStart w:id="387" w:name="_Toc243947319"/>
      <w:r>
        <w:t>Appendix C</w:t>
      </w:r>
      <w:bookmarkEnd w:id="386"/>
      <w:bookmarkEnd w:id="38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pPr>
      <w:bookmarkStart w:id="388" w:name="_Toc241922329"/>
      <w:bookmarkStart w:id="389" w:name="_Toc243947320"/>
      <w:r>
        <w:t>Appendix D</w:t>
      </w:r>
      <w:bookmarkEnd w:id="388"/>
      <w:bookmarkEnd w:id="389"/>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pPr>
      <w:bookmarkStart w:id="390" w:name="_Toc241922330"/>
      <w:bookmarkStart w:id="391" w:name="_Toc243947321"/>
      <w:r>
        <w:t>Appendix E</w:t>
      </w:r>
      <w:bookmarkEnd w:id="390"/>
      <w:bookmarkEnd w:id="391"/>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pPr>
      <w:bookmarkStart w:id="392" w:name="_Toc241922331"/>
      <w:bookmarkStart w:id="393" w:name="_Toc243947322"/>
      <w:r>
        <w:lastRenderedPageBreak/>
        <w:t>Appendix F</w:t>
      </w:r>
      <w:bookmarkEnd w:id="392"/>
      <w:bookmarkEnd w:id="393"/>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pPr>
      <w:bookmarkStart w:id="394" w:name="_Toc241922332"/>
      <w:bookmarkStart w:id="395" w:name="_Toc243947323"/>
      <w:r>
        <w:t>Appendix G</w:t>
      </w:r>
      <w:bookmarkEnd w:id="394"/>
      <w:bookmarkEnd w:id="395"/>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pPr>
      <w:bookmarkStart w:id="396" w:name="_Toc241922333"/>
      <w:bookmarkStart w:id="397" w:name="_Toc243947324"/>
      <w:r>
        <w:t>Appendix H</w:t>
      </w:r>
      <w:bookmarkEnd w:id="396"/>
      <w:bookmarkEnd w:id="397"/>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pPr>
      <w:bookmarkStart w:id="398" w:name="_Toc241922334"/>
      <w:bookmarkStart w:id="399" w:name="_Toc243947325"/>
      <w:r>
        <w:t>Appendix I</w:t>
      </w:r>
      <w:bookmarkEnd w:id="398"/>
      <w:bookmarkEnd w:id="399"/>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pPr>
      <w:bookmarkStart w:id="400" w:name="_Toc241922335"/>
      <w:bookmarkStart w:id="401" w:name="_Toc243947326"/>
      <w:r>
        <w:t>Appendix J</w:t>
      </w:r>
      <w:bookmarkEnd w:id="400"/>
      <w:bookmarkEnd w:id="401"/>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pPr>
      <w:bookmarkStart w:id="402" w:name="_Toc241922336"/>
      <w:bookmarkStart w:id="403" w:name="_Toc243947327"/>
      <w:r>
        <w:t>Appendix K</w:t>
      </w:r>
      <w:bookmarkEnd w:id="402"/>
      <w:bookmarkEnd w:id="403"/>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pPr>
      <w:bookmarkStart w:id="404" w:name="_Toc241922337"/>
      <w:bookmarkStart w:id="405" w:name="_Toc243947328"/>
      <w:r>
        <w:t>Appendix L</w:t>
      </w:r>
      <w:bookmarkEnd w:id="404"/>
      <w:bookmarkEnd w:id="405"/>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pPr>
      <w:bookmarkStart w:id="406" w:name="_Toc241922338"/>
      <w:bookmarkStart w:id="407" w:name="_Toc243947329"/>
      <w:r>
        <w:lastRenderedPageBreak/>
        <w:t>Appendix M</w:t>
      </w:r>
      <w:bookmarkEnd w:id="406"/>
      <w:bookmarkEnd w:id="40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pPr>
      <w:bookmarkStart w:id="408" w:name="_Toc241922339"/>
      <w:bookmarkStart w:id="409" w:name="_Toc243947330"/>
      <w:r>
        <w:t>Appendix N</w:t>
      </w:r>
      <w:bookmarkEnd w:id="408"/>
      <w:bookmarkEnd w:id="409"/>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pPr>
      <w:bookmarkStart w:id="410" w:name="_Toc241922340"/>
      <w:bookmarkStart w:id="411" w:name="_Toc243947331"/>
      <w:r>
        <w:t>Appendix O</w:t>
      </w:r>
      <w:bookmarkEnd w:id="410"/>
      <w:bookmarkEnd w:id="411"/>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pPr>
      <w:bookmarkStart w:id="412" w:name="_Toc241922341"/>
      <w:bookmarkStart w:id="413" w:name="_Toc243947332"/>
      <w:r>
        <w:t>Appendix P</w:t>
      </w:r>
      <w:bookmarkEnd w:id="412"/>
      <w:bookmarkEnd w:id="413"/>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pPr>
      <w:bookmarkStart w:id="414" w:name="_Toc241922342"/>
      <w:bookmarkStart w:id="415" w:name="_Toc243947333"/>
      <w:r>
        <w:t>Appendix Q</w:t>
      </w:r>
      <w:bookmarkEnd w:id="414"/>
      <w:bookmarkEnd w:id="415"/>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pPr>
      <w:bookmarkStart w:id="416" w:name="_Toc241922343"/>
      <w:bookmarkStart w:id="417" w:name="_Toc243947334"/>
      <w:r>
        <w:t>Appendix R</w:t>
      </w:r>
      <w:bookmarkEnd w:id="416"/>
      <w:bookmarkEnd w:id="417"/>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pPr>
      <w:bookmarkStart w:id="418" w:name="_Toc241922344"/>
      <w:bookmarkStart w:id="419" w:name="_Toc243947335"/>
      <w:r>
        <w:t>Appendix S</w:t>
      </w:r>
      <w:bookmarkEnd w:id="418"/>
      <w:bookmarkEnd w:id="419"/>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pPr>
      <w:bookmarkStart w:id="420" w:name="_Toc241922345"/>
      <w:bookmarkStart w:id="421" w:name="_Toc243947336"/>
      <w:r>
        <w:lastRenderedPageBreak/>
        <w:t>Appendix T</w:t>
      </w:r>
      <w:bookmarkEnd w:id="420"/>
      <w:bookmarkEnd w:id="421"/>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pPr>
      <w:bookmarkStart w:id="422" w:name="_Toc241922346"/>
      <w:bookmarkStart w:id="423" w:name="_Toc243947337"/>
      <w:r>
        <w:t>Appendix U</w:t>
      </w:r>
      <w:bookmarkEnd w:id="422"/>
      <w:bookmarkEnd w:id="423"/>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pPr>
      <w:bookmarkStart w:id="424" w:name="_Toc241922347"/>
      <w:bookmarkStart w:id="425" w:name="_Toc243947338"/>
      <w:r>
        <w:t>Appendix V</w:t>
      </w:r>
      <w:bookmarkEnd w:id="424"/>
      <w:bookmarkEnd w:id="425"/>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pPr>
      <w:bookmarkStart w:id="426" w:name="_Toc241922348"/>
      <w:bookmarkStart w:id="427" w:name="_Toc243947339"/>
      <w:r>
        <w:t>Appendix W</w:t>
      </w:r>
      <w:bookmarkEnd w:id="426"/>
      <w:bookmarkEnd w:id="42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pPr>
      <w:bookmarkStart w:id="428" w:name="_Toc241922349"/>
      <w:bookmarkStart w:id="429" w:name="_Toc243947340"/>
      <w:r>
        <w:t>Appendix X</w:t>
      </w:r>
      <w:bookmarkEnd w:id="428"/>
      <w:bookmarkEnd w:id="429"/>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9" w:author="Felipe Gregorio Lima" w:date="2026-10-17T23:09:00Z" w:initials="FGL">
    <w:p w14:paraId="2546E68D" w14:textId="77777777" w:rsidR="007D6A96" w:rsidRDefault="007D6A96" w:rsidP="007D6A96">
      <w:pPr>
        <w:jc w:val="left"/>
      </w:pPr>
      <w:r>
        <w:rPr>
          <w:rStyle w:val="Refdecomentrio"/>
        </w:rPr>
        <w:annotationRef/>
      </w:r>
      <w:r>
        <w:rPr>
          <w:sz w:val="20"/>
          <w:szCs w:val="20"/>
        </w:rPr>
        <w:t>add references to it</w:t>
      </w:r>
    </w:p>
  </w:comment>
  <w:comment w:id="13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546E68D" w15:done="0"/>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DAAD9" w16cex:dateUtc="2026-10-17T21:09:00Z"/>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546E68D" w16cid:durableId="057DAAD9"/>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058539" w14:textId="77777777" w:rsidR="006746C9" w:rsidRDefault="006746C9">
      <w:pPr>
        <w:spacing w:line="240" w:lineRule="auto"/>
      </w:pPr>
      <w:r>
        <w:separator/>
      </w:r>
    </w:p>
  </w:endnote>
  <w:endnote w:type="continuationSeparator" w:id="0">
    <w:p w14:paraId="65AAAB88" w14:textId="77777777" w:rsidR="006746C9" w:rsidRDefault="006746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C36483-7BCE-8341-A75A-146F6431BF83}"/>
    <w:embedBold r:id="rId2" w:fontKey="{6C1BE909-33B6-F745-8D70-4E55C8B17823}"/>
    <w:embedItalic r:id="rId3" w:fontKey="{5B4DF452-BAE8-7944-8E9F-2F8045B3D6E4}"/>
    <w:embedBoldItalic r:id="rId4" w:fontKey="{E9DE7380-0A4B-9F44-9072-BB287D01D7FA}"/>
  </w:font>
  <w:font w:name="Arial">
    <w:panose1 w:val="020B0604020202020204"/>
    <w:charset w:val="00"/>
    <w:family w:val="swiss"/>
    <w:pitch w:val="variable"/>
    <w:sig w:usb0="E0002AFF" w:usb1="C0007843" w:usb2="00000009" w:usb3="00000000" w:csb0="000001FF" w:csb1="00000000"/>
    <w:embedRegular r:id="rId5" w:fontKey="{B5710CFF-271A-0347-8A28-BAB8B768F944}"/>
  </w:font>
  <w:font w:name="Cambria">
    <w:panose1 w:val="02040503050406030204"/>
    <w:charset w:val="00"/>
    <w:family w:val="roman"/>
    <w:pitch w:val="variable"/>
    <w:sig w:usb0="E00002FF" w:usb1="400004FF" w:usb2="00000000" w:usb3="00000000" w:csb0="0000019F" w:csb1="00000000"/>
    <w:embedRegular r:id="rId6" w:fontKey="{EF6CD1BF-4D02-6C49-A4D3-D1CCDF8D8EAE}"/>
    <w:embedBold r:id="rId7" w:fontKey="{9EBA9EE2-B84B-D448-9352-728C2AB87122}"/>
    <w:embedBoldItalic r:id="rId8" w:fontKey="{3E65A08F-6907-C84C-A7E1-09F747F12A2D}"/>
  </w:font>
  <w:font w:name="Calibri">
    <w:panose1 w:val="020F0502020204030204"/>
    <w:charset w:val="00"/>
    <w:family w:val="swiss"/>
    <w:pitch w:val="variable"/>
    <w:sig w:usb0="E0002AFF" w:usb1="C000247B" w:usb2="00000009" w:usb3="00000000" w:csb0="000001FF" w:csb1="00000000"/>
    <w:embedRegular r:id="rId9" w:fontKey="{95D0E3C5-EB6F-6049-A921-35C3C03F1095}"/>
    <w:embedBold r:id="rId10" w:fontKey="{EFD4DCB7-4EA9-9443-ABF7-7AB929C2A5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A58609" w14:textId="77777777" w:rsidR="006746C9" w:rsidRDefault="006746C9">
      <w:pPr>
        <w:spacing w:line="240" w:lineRule="auto"/>
      </w:pPr>
      <w:r>
        <w:separator/>
      </w:r>
    </w:p>
  </w:footnote>
  <w:footnote w:type="continuationSeparator" w:id="0">
    <w:p w14:paraId="56CC540A" w14:textId="77777777" w:rsidR="006746C9" w:rsidRDefault="006746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4607"/>
    <w:rsid w:val="005959A0"/>
    <w:rsid w:val="005A0FE4"/>
    <w:rsid w:val="005A3817"/>
    <w:rsid w:val="005B6E92"/>
    <w:rsid w:val="005C50FE"/>
    <w:rsid w:val="005D6CD2"/>
    <w:rsid w:val="005E0BA7"/>
    <w:rsid w:val="006204D8"/>
    <w:rsid w:val="00626A50"/>
    <w:rsid w:val="0062717B"/>
    <w:rsid w:val="00627AB3"/>
    <w:rsid w:val="00631D54"/>
    <w:rsid w:val="00637236"/>
    <w:rsid w:val="00664717"/>
    <w:rsid w:val="006746C9"/>
    <w:rsid w:val="006832E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70084"/>
    <w:rsid w:val="00873794"/>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BD6"/>
    <w:rsid w:val="00C7254F"/>
    <w:rsid w:val="00C827E0"/>
    <w:rsid w:val="00C84AA6"/>
    <w:rsid w:val="00C85512"/>
    <w:rsid w:val="00CB37B6"/>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753D9"/>
    <w:rsid w:val="00FA02B9"/>
    <w:rsid w:val="00FA30B5"/>
    <w:rsid w:val="00FB0B13"/>
    <w:rsid w:val="00FC537D"/>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jc w:val="both"/>
    </w:pPr>
    <w:rPr>
      <w:i w:val="0"/>
      <w:color w:val="000000"/>
      <w:sz w:val="20"/>
    </w:rPr>
  </w:style>
  <w:style w:type="paragraph" w:customStyle="1" w:styleId="Figurecaption">
    <w:name w:val="Figure caption"/>
    <w:basedOn w:val="Normal"/>
    <w:qFormat/>
    <w:pPr>
      <w:keepNext w:val="0"/>
      <w:spacing w:before="120" w:after="200" w:line="240" w:lineRule="auto"/>
      <w:ind w:firstLine="0"/>
      <w:jc w:val="both"/>
    </w:pPr>
    <w:rPr>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microsoft.com/office/2011/relationships/people" Target="people.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120</Pages>
  <Words>49175</Words>
  <Characters>265548</Characters>
  <Application>Microsoft Office Word</Application>
  <DocSecurity>0</DocSecurity>
  <Lines>2212</Lines>
  <Paragraphs>628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35</cp:revision>
  <cp:lastPrinted>2026-10-27T23:33:00Z</cp:lastPrinted>
  <dcterms:created xsi:type="dcterms:W3CDTF">2026-10-26T21:45:00Z</dcterms:created>
  <dcterms:modified xsi:type="dcterms:W3CDTF">2026-10-27T23:36:00Z</dcterms:modified>
</cp:coreProperties>
</file>