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spacing w:before="240" w:after="120"/>
      </w:pPr>
      <w:r>
        <w:t xml:space="preserve">2. Methodology</w:t>
      </w:r>
    </w:p>
    <w:p>
      <w:pPr>
        <w:pStyle w:val="Heading2"/>
        <w:spacing w:before="240" w:after="120"/>
      </w:pPr>
      <w:r>
        <w:t xml:space="preserve">2.1 Research design</w:t>
      </w:r>
    </w:p>
    <w:p>
      <w:pPr>
        <w:pStyle w:val="Heading3"/>
        <w:spacing w:before="240" w:after="120"/>
      </w:pPr>
      <w:r>
        <w:t xml:space="preserve">2.1.1 Design science research methodology</w:t>
      </w:r>
    </w:p>
    <w:p>
      <w:pPr>
        <w:pStyle w:val="FirstParagraph"/>
        <w:spacing w:before="0" w:after="0"/>
        <w:ind w:firstLine="720"/>
        <w:jc w:val="both"/>
      </w:pPr>
      <w:r>
        <w:t xml:space="preserve">The objective of this thesis, stated in Section 1.5, is to build a site-level quality management framework for surgical device investigations. To achieve it, we followed the Design Science Research Methodology (DSRM) set out by Peffers et al. [49]. Design science research creates and evaluates artifacts that solve identified organizational problems. DSRM organizes that work into six activities: problem identification and motivation, definition of the objectives for a solution, design and development, demonstration, evaluation, and communication. This thesis reports four of them, and the remaining two, demonstration and evaluation, were not undertaken.</w:t>
      </w:r>
    </w:p>
    <w:p>
      <w:pPr>
        <w:pStyle w:val="BodyText"/>
        <w:spacing w:before="0" w:after="0"/>
        <w:ind w:firstLine="720"/>
        <w:jc w:val="both"/>
      </w:pPr>
      <w:r>
        <w:t xml:space="preserve">Peffers et al. also note that a DSRM study can enter the sequence at different activities, depending on what triggers the research, and that a study triggered by a problem, which they call problem-centered initiation, starts at the first activity. This thesis is problem-centered. The difficulty of managing quality at the site is already recognized in the literature, which describes data-quality management at sites as often reactive and standardized site practices as uncommon [42, 45], and finds that measures for surgical trials are rarely carried through conduct [39]. As Sections 1.1 and 1.3 describe, the recent guidelines place more of the responsibility for quality on the investigator and the site team, but they do not describe how a site should organize itself to carry it.</w:t>
      </w:r>
    </w:p>
    <w:p>
      <w:pPr>
        <w:pStyle w:val="BodyText"/>
        <w:spacing w:before="0" w:after="0"/>
        <w:ind w:firstLine="720"/>
        <w:jc w:val="both"/>
      </w:pPr>
      <w:r>
        <w:t xml:space="preserve">Since the problem is the absence of a structured, site-level quality management framework for surgical device investigations, the artifact is a model together with the methods that put it to work.</w:t>
      </w:r>
    </w:p>
    <w:p>
      <w:pPr>
        <w:pStyle w:val="BodyText"/>
        <w:spacing w:before="0" w:after="0"/>
        <w:ind w:firstLine="720"/>
        <w:jc w:val="both"/>
      </w:pPr>
      <w:r>
        <w:t xml:space="preserve">DSRM also asks that the link between problem and solution stay visible. We kept it visible by tracing each major component of the framework to the design requirement it answers, and each requirement to the regulatory gap or CtQ domain that motivated it, or to an operating condition of the site. Table 3.4 traces each requirement to its origin, while Table 4.1 maps the requirements onto the components that answer them and Figure 4.5 does the same for the 24 instruments.</w:t>
      </w:r>
    </w:p>
    <w:p>
      <w:pPr>
        <w:pStyle w:val="Heading3"/>
        <w:spacing w:before="240" w:after="120"/>
      </w:pPr>
      <w:r>
        <w:t xml:space="preserve">2.1.2 Overview of the research process</w:t>
      </w:r>
    </w:p>
    <w:p>
      <w:pPr>
        <w:pStyle w:val="FirstParagraph"/>
        <w:spacing w:before="0" w:after="0"/>
        <w:ind w:firstLine="720"/>
        <w:jc w:val="both"/>
      </w:pPr>
      <w:r>
        <w:t xml:space="preserve">We carried out the first three DSRM activities in sequence, and this chapter follows the same order. For the identification of the problem, we analyzed the normative instruments that govern device investigations and reviewed the literature, including the frameworks already proposed (Sections 2.2.1 to 2.2.4). We also characterized, from registry data, the organizations where shoulder device investigations are conducted (Section 2.2.5). Chapter 1 and Sections 3.2 and 3.4 report the results of this activity.</w:t>
      </w:r>
    </w:p>
    <w:p>
      <w:pPr>
        <w:pStyle w:val="BodyText"/>
        <w:spacing w:before="0" w:after="0"/>
        <w:ind w:firstLine="720"/>
        <w:jc w:val="both"/>
      </w:pPr>
      <w:r>
        <w:t xml:space="preserve">For the definition of the objectives, we derived the site-level CtQ domains from the attributes recorded in the first activity and then formulated the design requirements (Section 2.3). Sections 3.3 and 3.5 report the domains and the requirements DR1 to DR12. For design and development, we built the pillars and the operational instruments of the framework (Section 2.4), which Chapter 4 reports. Section 2.5 sets out the limitations of each step and the validation status of the framework, and this thesis is the communication of the work.</w:t>
      </w:r>
    </w:p>
    <w:p>
      <w:pPr>
        <w:pStyle w:val="Heading2"/>
        <w:spacing w:before="240" w:after="120"/>
      </w:pPr>
      <w:r>
        <w:t xml:space="preserve">2.2 Problem identification</w:t>
      </w:r>
    </w:p>
    <w:p>
      <w:pPr>
        <w:pStyle w:val="Heading3"/>
        <w:spacing w:before="240" w:after="120"/>
      </w:pPr>
      <w:r>
        <w:t xml:space="preserve">2.2.1 Normative instruments</w:t>
      </w:r>
    </w:p>
    <w:p>
      <w:pPr>
        <w:pStyle w:val="FirstParagraph"/>
        <w:spacing w:before="0" w:after="0"/>
        <w:ind w:firstLine="720"/>
        <w:jc w:val="both"/>
      </w:pPr>
      <w:r>
        <w:t xml:space="preserve">We used ICH E8(R1) and ICH E6(R3) as conceptual and design references for QbD and CtQ factors and for the principle of risk-proportionate quality. Their scope is medicinal products, so we took the device-specific obligations from two other instruments. ISO 14155:2026 is the GCP standard for device investigations and our main source of investigator-level requirements. The MDR supplies the European legal framework, including the traceability and safety reporting requirements specific to devices.</w:t>
      </w:r>
    </w:p>
    <w:p>
      <w:pPr>
        <w:pStyle w:val="BodyText"/>
        <w:spacing w:before="0" w:after="0"/>
        <w:ind w:firstLine="720"/>
        <w:jc w:val="both"/>
      </w:pPr>
      <w:r>
        <w:t xml:space="preserve">We consulted three further standards: ISO 13485, ISO 14971 with its guidance document ISO/TR 24971, and ISO 15189:2022. None of them creates an obligation for the investigational site, and we used them as models of a documented quality system held by other organizations in the same regulatory and supply chain.</w:t>
      </w:r>
    </w:p>
    <w:p>
      <w:pPr>
        <w:pStyle w:val="Heading3"/>
        <w:spacing w:before="240" w:after="120"/>
      </w:pPr>
      <w:r>
        <w:t xml:space="preserve">2.2.2 Reading and comparison of the normative instruments</w:t>
      </w:r>
    </w:p>
    <w:p>
      <w:pPr>
        <w:pStyle w:val="FirstParagraph"/>
        <w:spacing w:before="0" w:after="0"/>
        <w:ind w:firstLine="720"/>
        <w:jc w:val="both"/>
      </w:pPr>
      <w:r>
        <w:t xml:space="preserve">We read ICH E6(R3), ISO 14155:2026, and</w:t>
      </w:r>
      <w:r>
        <w:t xml:space="preserve"> </w:t>
      </w:r>
      <w:r>
        <w:rPr>
          <w:bCs/>
          <w:b/>
        </w:rPr>
        <w:t xml:space="preserve">[the MDR / MDR Annex XV]</w:t>
      </w:r>
      <w:r>
        <w:t xml:space="preserve"> </w:t>
      </w:r>
      <w:r>
        <w:t xml:space="preserve">with the same procedure. At this stage the reading had one purpose: to identify the responsibilities that the instruments declare for the site, and the quality factors on which the direct action of the site is already known and recognized. In each text we recorded, as a quality attribute, every requirement that concerns participant protection or the reliability of the results. Each entry held the attribute in our own words and the clause it comes from, with the excerpt of that clause. We also recorded the obligation that the clause creates and the party it binds. Informed consent, for example, was recorded once for each text that requires it. We checked the coverage of the entries against the 18 considerations listed in Section 7 of ICH E8(R1) [5].</w:t>
      </w:r>
    </w:p>
    <w:p>
      <w:pPr>
        <w:pStyle w:val="BodyText"/>
        <w:spacing w:before="0" w:after="0"/>
        <w:ind w:firstLine="720"/>
        <w:jc w:val="both"/>
      </w:pPr>
      <w:r>
        <w:t xml:space="preserve">Requirements that describe how quality is to be controlled, such as periodic risk review or quality tolerance limits in ICH E6(R3), went into a separate list, which Section 2.4.2 uses in the design of the instruments.</w:t>
      </w:r>
    </w:p>
    <w:p>
      <w:pPr>
        <w:pStyle w:val="BodyText"/>
        <w:spacing w:before="0" w:after="0"/>
        <w:ind w:firstLine="720"/>
        <w:jc w:val="both"/>
      </w:pPr>
      <w:r>
        <w:t xml:space="preserve">We merged the three sets of entries into a single matrix and compared the attributes clause by clause. Each attribute was sorted into one of three categories. An attribute is strongly harmonized when all three instruments create an equivalent obligation on the same party, and partly harmonized when the instruments agree on the principle but bind different parties or use different terms. It is unaddressed at site level when none of the instruments gives the site an obligation that matches the attribute, either because the obligation falls on the sponsor or because no instrument assigns it to any party in operational form. We call an attribute in this third category a gap.</w:t>
      </w:r>
    </w:p>
    <w:p>
      <w:pPr>
        <w:pStyle w:val="BodyText"/>
        <w:spacing w:before="0" w:after="0"/>
        <w:ind w:firstLine="720"/>
        <w:jc w:val="both"/>
      </w:pPr>
      <w:r>
        <w:t xml:space="preserve">Attributes found in only some of the instruments were classified case by case. An attribute that is absent from ICH E6(R3) only because it is specific to medical devices, and that both device instruments address, was classified as partly harmonized. An attribute that one device instrument requires and the other does not was also classified as a gap, as with an explicit MDR requirement that ISO 14155:2026 does not contain, or a factor that ISO 14155:2026 treats as critical and the MDR does not require. Section 3.2 reports the result of the comparison, and the same matrix was used again in Section 2.3.2 to derive the CtQ domains.</w:t>
      </w:r>
    </w:p>
    <w:p>
      <w:pPr>
        <w:pStyle w:val="Heading3"/>
        <w:spacing w:before="240" w:after="120"/>
      </w:pPr>
      <w:r>
        <w:t xml:space="preserve">2.2.3 Literature review</w:t>
      </w:r>
    </w:p>
    <w:p>
      <w:pPr>
        <w:pStyle w:val="FirstParagraph"/>
        <w:spacing w:before="0" w:after="0"/>
        <w:ind w:firstLine="720"/>
        <w:jc w:val="both"/>
      </w:pPr>
      <w:r>
        <w:t xml:space="preserve">The literature relevant to this work is spread across five fields: quality management in clinical research, SQA in trials, the methodology of surgical trials, the clinical literature on the shoulder, and the performance measurement of investigational sites. We reviewed it narratively and kept to that scope, so that the review would not drift toward other questions. The review mapped the problem already described in these fields and showed gaps reported by other authors that our reading of the instruments had missed, and it also allowed us to test our first findings against published work.</w:t>
      </w:r>
    </w:p>
    <w:p>
      <w:pPr>
        <w:pStyle w:val="BodyText"/>
        <w:spacing w:before="0" w:after="0"/>
        <w:ind w:firstLine="720"/>
        <w:jc w:val="both"/>
      </w:pPr>
      <w:r>
        <w:t xml:space="preserve">We searched Scopus, PubMed, OpenAlex, and Google Scholar and followed citations from the articles retrieved. We gave priority to recent work, since ICH E6(R3) was adopted in 2025 and ISO 14155:2026 was published in 2026. Two kinds of source were exempt from that priority: methodological work whose content does not date, such as the surgical trials literature on learning and clustering effects, and normative instruments and guidance documents, which we used in the version in force at the time of writing. We extended the material beyond peer-reviewed publications to regulatory and industry guidance and to standards. The main interpretive sources were the CTTI QbD recommendations with the QbD Documentation Tool, and the 2016 MDIC device-specific supplement on CtQ factors [33, 34].</w:t>
      </w:r>
    </w:p>
    <w:p>
      <w:pPr>
        <w:pStyle w:val="BodyText"/>
        <w:spacing w:before="0" w:after="0"/>
        <w:ind w:firstLine="720"/>
        <w:jc w:val="both"/>
      </w:pPr>
      <w:r>
        <w:t xml:space="preserve">We organized the reading around one question: what a site would need to put the QbD and risk-proportionate quality principles of ICH E8(R1) and ICH E6(R3) into its own operational processes. For each source we noted what it establishes, and where sources disagree or evidence is absent, and we then grouped the recurring themes. Section 3.2 cites this literature where it supports or qualifies a regulatory gap.</w:t>
      </w:r>
    </w:p>
    <w:p>
      <w:pPr>
        <w:pStyle w:val="Heading3"/>
        <w:spacing w:before="240" w:after="120"/>
      </w:pPr>
      <w:r>
        <w:t xml:space="preserve">2.2.4 Analysis of existing frameworks</w:t>
      </w:r>
    </w:p>
    <w:p>
      <w:pPr>
        <w:pStyle w:val="FirstParagraph"/>
        <w:spacing w:before="0" w:after="0"/>
        <w:ind w:firstLine="720"/>
        <w:jc w:val="both"/>
      </w:pPr>
      <w:r>
        <w:t xml:space="preserve">For every published framework or consensus statement we identified, and for every measurement instrument, we recorded four components: the level at which it is defined, the party that operates it, the party it is applied to, and the clinical field in which it was developed. We then compared the instruments closest to the framework of this thesis with the framework itself, component by component, and recorded whether each component has a direct counterpart, a partial one operating at a different level, or none. Section 5.2 reports that comparison.</w:t>
      </w:r>
    </w:p>
    <w:p>
      <w:pPr>
        <w:pStyle w:val="Heading3"/>
        <w:spacing w:before="240" w:after="120"/>
      </w:pPr>
      <w:r>
        <w:t xml:space="preserve">2.2.5 Registry analysis of investigational sites</w:t>
      </w:r>
    </w:p>
    <w:p>
      <w:pPr>
        <w:pStyle w:val="FirstParagraph"/>
        <w:spacing w:before="0" w:after="0"/>
        <w:ind w:firstLine="720"/>
        <w:jc w:val="both"/>
      </w:pPr>
      <w:r>
        <w:t xml:space="preserve">We characterized the organizations that take part in shoulder device investigations from registry data, and Section 3.4.4 reports the results. We first searched the European database on medical devices (Eudamed), set up under the MDR. Applications for clinical investigations are submitted through its electronic system on clinical investigations (Articles 33 and 73). In the application, the sponsor must identify each investigational site and the principal investigator at each one (Annex XV, Chapter II, Section 3.1.3), and this information is public unless its confidentiality is justified (Article 73(3)) [10]. Eudamed did not return site-level data for the investigations searched, so we retrieved study records from ClinicalTrials.gov through its public application programming interface (API) v2, with records accessed on 20 September 2026. ClinicalTrials.gov provides structured, publicly accessible records, including the facility fields that sponsors enter for participating locations. Those fields are not always complete or consistent, as earlier assessments of ClinicalTrials.gov data quality have shown [50, 51].</w:t>
      </w:r>
    </w:p>
    <w:p>
      <w:pPr>
        <w:pStyle w:val="BodyText"/>
        <w:spacing w:before="0" w:after="0"/>
        <w:ind w:firstLine="720"/>
        <w:jc w:val="both"/>
      </w:pPr>
      <w:r>
        <w:t xml:space="preserve">We searched for interventional studies of shoulder conditions with a device intervention and an industry lead sponsor, with start dates between 2000 and 2026, and then kept the investigations of implantable shoulder devices. The industry restriction limited the population to investigations that generate pre-market or post-market evidence for these devices, and investigator-initiated studies, which follow a different sponsorship pathway, were excluded. After eligibility screening, the sample comprised 46 investigations. Their location data produced 335 site records, each linking one organization to one investigation. After facility names were normalized and duplicate or related entries resolved, these records corresponded to 235 distinct organizations in 18 countries. The site record was the unit of analysis, so an organization was counted once for each investigation in which it took part, and the distribution reflects how often each environment hosts investigational activity. The registry data and the institutional sources used for classification were publicly available, and the analysis used no participant-level personal data.</w:t>
      </w:r>
      <w:r>
        <w:t xml:space="preserve"> </w:t>
      </w:r>
      <w:r>
        <w:rPr>
          <w:bCs/>
          <w:b/>
        </w:rPr>
        <w:t xml:space="preserve">[Cite the university or faculty decision on ethical review or exemption.]</w:t>
      </w:r>
    </w:p>
    <w:p>
      <w:pPr>
        <w:pStyle w:val="BodyText"/>
        <w:spacing w:before="0" w:after="0"/>
        <w:ind w:firstLine="720"/>
        <w:jc w:val="both"/>
      </w:pPr>
      <w:r>
        <w:t xml:space="preserve">ClinicalTrials.gov records each study location under the facility name entered by the sponsor. Because naming conventions vary across countries and organizations, we normalized spelling variants and former names, and merged multiple entries referring to the same organization. Where an entry named the sponsor, or a research foundation or other administrative entity, we resolved it to the clinical organization where the procedure was performed whenever public evidence allowed it. Each organization was classified once, and its category was applied to all of its site records. The registered facility name was used to locate the organization and was not treated as classification evidence by itself.</w:t>
      </w:r>
    </w:p>
    <w:p>
      <w:pPr>
        <w:pStyle w:val="BodyText"/>
        <w:spacing w:before="0" w:after="0"/>
        <w:ind w:firstLine="720"/>
        <w:jc w:val="both"/>
      </w:pPr>
      <w:r>
        <w:t xml:space="preserve">We classified each organization from public sources, giving priority to its official website and then to public licensing records and recognized institutional directories, with academic publications as the last source. The classification considered inpatient capacity and ownership, together with any declared university or teaching affiliation, and assigned each organization to one of four mutually exclusive categories:</w:t>
      </w:r>
    </w:p>
    <w:p>
      <w:pPr>
        <w:numPr>
          <w:ilvl w:val="0"/>
          <w:numId w:val="1001"/>
        </w:numPr>
        <w:pStyle w:val="Compact"/>
        <w:spacing w:before="0" w:after="0"/>
        <w:jc w:val="both"/>
      </w:pPr>
      <w:r>
        <w:rPr>
          <w:iCs/>
          <w:i/>
        </w:rPr>
        <w:t xml:space="preserve">Academic.</w:t>
      </w:r>
      <w:r>
        <w:t xml:space="preserve"> </w:t>
      </w:r>
      <w:r>
        <w:t xml:space="preserve">University or teaching hospitals and university departments, together with the ambulatory facilities these institutions own.</w:t>
      </w:r>
    </w:p>
    <w:p>
      <w:pPr>
        <w:numPr>
          <w:ilvl w:val="0"/>
          <w:numId w:val="1001"/>
        </w:numPr>
        <w:pStyle w:val="Compact"/>
        <w:spacing w:before="0" w:after="0"/>
        <w:jc w:val="both"/>
      </w:pPr>
      <w:r>
        <w:rPr>
          <w:iCs/>
          <w:i/>
        </w:rPr>
        <w:t xml:space="preserve">Nonacademic hospital.</w:t>
      </w:r>
      <w:r>
        <w:t xml:space="preserve"> </w:t>
      </w:r>
      <w:r>
        <w:t xml:space="preserve">Hospitals with inpatient capacity and no declared university affiliation, together with ambulatory facilities belonging to a nonacademic hospital system.</w:t>
      </w:r>
    </w:p>
    <w:p>
      <w:pPr>
        <w:numPr>
          <w:ilvl w:val="0"/>
          <w:numId w:val="1001"/>
        </w:numPr>
        <w:pStyle w:val="Compact"/>
        <w:spacing w:before="0" w:after="0"/>
        <w:jc w:val="both"/>
      </w:pPr>
      <w:r>
        <w:rPr>
          <w:iCs/>
          <w:i/>
        </w:rPr>
        <w:t xml:space="preserve">Nonhospital.</w:t>
      </w:r>
      <w:r>
        <w:t xml:space="preserve"> </w:t>
      </w:r>
      <w:r>
        <w:t xml:space="preserve">Independent orthopedic practices and ambulatory centers outside hospital or university ownership. Exclusively orthopedic inpatient facilities owned by the surgeons who operate in them were also assigned here, under an exception defined before classification.</w:t>
      </w:r>
    </w:p>
    <w:p>
      <w:pPr>
        <w:numPr>
          <w:ilvl w:val="0"/>
          <w:numId w:val="1001"/>
        </w:numPr>
        <w:pStyle w:val="Compact"/>
        <w:spacing w:before="0" w:after="0"/>
        <w:jc w:val="both"/>
      </w:pPr>
      <w:r>
        <w:rPr>
          <w:iCs/>
          <w:i/>
        </w:rPr>
        <w:t xml:space="preserve">Unresolved.</w:t>
      </w:r>
      <w:r>
        <w:t xml:space="preserve"> </w:t>
      </w:r>
      <w:r>
        <w:t xml:space="preserve">Entries with incomplete or ambiguous facility names or naming nonclinical entities, together with organizations that could not be verified from public sources.</w:t>
      </w:r>
    </w:p>
    <w:p>
      <w:pPr>
        <w:pStyle w:val="FirstParagraph"/>
        <w:spacing w:before="0" w:after="0"/>
        <w:ind w:firstLine="720"/>
        <w:jc w:val="both"/>
      </w:pPr>
      <w:r>
        <w:t xml:space="preserve">For each organization we also recorded whether the public sources consulted showed a permanent clinical trial infrastructure.</w:t>
      </w:r>
    </w:p>
    <w:p>
      <w:pPr>
        <w:pStyle w:val="Heading2"/>
        <w:spacing w:before="240" w:after="120"/>
      </w:pPr>
      <w:r>
        <w:t xml:space="preserve">2.3 Objectives of a solution</w:t>
      </w:r>
    </w:p>
    <w:p>
      <w:pPr>
        <w:pStyle w:val="Heading3"/>
        <w:spacing w:before="240" w:after="120"/>
      </w:pPr>
      <w:r>
        <w:t xml:space="preserve">2.3.1 The CtQ criteria</w:t>
      </w:r>
    </w:p>
    <w:p>
      <w:pPr>
        <w:pStyle w:val="FirstParagraph"/>
        <w:spacing w:before="0" w:after="0"/>
        <w:ind w:firstLine="720"/>
        <w:jc w:val="both"/>
      </w:pPr>
      <w:r>
        <w:t xml:space="preserve">We used CtQ factors to decide which of the attributes recorded in Section 2.2.2 a site-level framework has to control. The test came from ICH E8(R1) and ICH E6(R3), the only instruments examined that define CtQ factors and describe how to identify them [5, 6].</w:t>
      </w:r>
    </w:p>
    <w:p>
      <w:pPr>
        <w:pStyle w:val="BodyText"/>
        <w:spacing w:before="0" w:after="0"/>
        <w:ind w:firstLine="720"/>
        <w:jc w:val="both"/>
      </w:pPr>
      <w:r>
        <w:t xml:space="preserve">ICH E8(R1), in Section 3.2, describes CtQ factors as</w:t>
      </w:r>
      <w:r>
        <w:t xml:space="preserve"> </w:t>
      </w:r>
      <w:r>
        <w:t xml:space="preserve">“</w:t>
      </w:r>
      <w:r>
        <w:t xml:space="preserve">attributes of a study whose integrity is fundamental to the protection of study participants, the reliability and interpretability of the study results, and the decisions made based on the study results</w:t>
      </w:r>
      <w:r>
        <w:t xml:space="preserve">”</w:t>
      </w:r>
      <w:r>
        <w:t xml:space="preserve"> </w:t>
      </w:r>
      <w:r>
        <w:t xml:space="preserve">[5]. Its Section 7 lists 18 considerations for identifying them, written from the position of the sponsor as the party that designs the study:</w:t>
      </w:r>
    </w:p>
    <w:p>
      <w:pPr>
        <w:numPr>
          <w:ilvl w:val="0"/>
          <w:numId w:val="1002"/>
        </w:numPr>
        <w:pStyle w:val="Compact"/>
        <w:spacing w:before="0" w:after="0"/>
        <w:jc w:val="both"/>
      </w:pPr>
      <w:r>
        <w:t xml:space="preserve">Stakeholder engagement</w:t>
      </w:r>
    </w:p>
    <w:p>
      <w:pPr>
        <w:numPr>
          <w:ilvl w:val="0"/>
          <w:numId w:val="1002"/>
        </w:numPr>
        <w:pStyle w:val="Compact"/>
        <w:spacing w:before="0" w:after="0"/>
        <w:jc w:val="both"/>
      </w:pPr>
      <w:r>
        <w:t xml:space="preserve">Appropriate eligibility criteria</w:t>
      </w:r>
    </w:p>
    <w:p>
      <w:pPr>
        <w:numPr>
          <w:ilvl w:val="0"/>
          <w:numId w:val="1002"/>
        </w:numPr>
        <w:pStyle w:val="Compact"/>
        <w:spacing w:before="0" w:after="0"/>
        <w:jc w:val="both"/>
      </w:pPr>
      <w:r>
        <w:t xml:space="preserve">Adequacy of prior studies</w:t>
      </w:r>
    </w:p>
    <w:p>
      <w:pPr>
        <w:numPr>
          <w:ilvl w:val="0"/>
          <w:numId w:val="1002"/>
        </w:numPr>
        <w:pStyle w:val="Compact"/>
        <w:spacing w:before="0" w:after="0"/>
        <w:jc w:val="both"/>
      </w:pPr>
      <w:r>
        <w:t xml:space="preserve">Necessary data collection</w:t>
      </w:r>
    </w:p>
    <w:p>
      <w:pPr>
        <w:numPr>
          <w:ilvl w:val="0"/>
          <w:numId w:val="1002"/>
        </w:numPr>
        <w:pStyle w:val="Compact"/>
        <w:spacing w:before="0" w:after="0"/>
        <w:jc w:val="both"/>
      </w:pPr>
      <w:r>
        <w:t xml:space="preserve">Scientific study objectives</w:t>
      </w:r>
    </w:p>
    <w:p>
      <w:pPr>
        <w:numPr>
          <w:ilvl w:val="0"/>
          <w:numId w:val="1002"/>
        </w:numPr>
        <w:pStyle w:val="Compact"/>
        <w:spacing w:before="0" w:after="0"/>
        <w:jc w:val="both"/>
      </w:pPr>
      <w:r>
        <w:t xml:space="preserve">Well-defined endpoints</w:t>
      </w:r>
    </w:p>
    <w:p>
      <w:pPr>
        <w:numPr>
          <w:ilvl w:val="0"/>
          <w:numId w:val="1002"/>
        </w:numPr>
        <w:pStyle w:val="Compact"/>
        <w:spacing w:before="0" w:after="0"/>
        <w:jc w:val="both"/>
      </w:pPr>
      <w:r>
        <w:t xml:space="preserve">Meaningful control group</w:t>
      </w:r>
    </w:p>
    <w:p>
      <w:pPr>
        <w:numPr>
          <w:ilvl w:val="0"/>
          <w:numId w:val="1002"/>
        </w:numPr>
        <w:pStyle w:val="Compact"/>
        <w:spacing w:before="0" w:after="0"/>
        <w:jc w:val="both"/>
      </w:pPr>
      <w:r>
        <w:t xml:space="preserve">Bias minimization</w:t>
      </w:r>
    </w:p>
    <w:p>
      <w:pPr>
        <w:numPr>
          <w:ilvl w:val="0"/>
          <w:numId w:val="1002"/>
        </w:numPr>
        <w:pStyle w:val="Compact"/>
        <w:spacing w:before="0" w:after="0"/>
        <w:jc w:val="both"/>
      </w:pPr>
      <w:r>
        <w:t xml:space="preserve">Participant protection</w:t>
      </w:r>
    </w:p>
    <w:p>
      <w:pPr>
        <w:numPr>
          <w:ilvl w:val="0"/>
          <w:numId w:val="1002"/>
        </w:numPr>
        <w:pStyle w:val="Compact"/>
        <w:spacing w:before="0" w:after="0"/>
        <w:jc w:val="both"/>
      </w:pPr>
      <w:r>
        <w:t xml:space="preserve">Prespecified statistical analysis</w:t>
      </w:r>
    </w:p>
    <w:p>
      <w:pPr>
        <w:numPr>
          <w:ilvl w:val="0"/>
          <w:numId w:val="1002"/>
        </w:numPr>
        <w:pStyle w:val="Compact"/>
        <w:spacing w:before="0" w:after="0"/>
        <w:jc w:val="both"/>
      </w:pPr>
      <w:r>
        <w:t xml:space="preserve">Clear participant information</w:t>
      </w:r>
    </w:p>
    <w:p>
      <w:pPr>
        <w:numPr>
          <w:ilvl w:val="0"/>
          <w:numId w:val="1002"/>
        </w:numPr>
        <w:pStyle w:val="Compact"/>
        <w:spacing w:before="0" w:after="0"/>
        <w:jc w:val="both"/>
      </w:pPr>
      <w:r>
        <w:t xml:space="preserve">Critical data integrity</w:t>
      </w:r>
    </w:p>
    <w:p>
      <w:pPr>
        <w:numPr>
          <w:ilvl w:val="0"/>
          <w:numId w:val="1002"/>
        </w:numPr>
        <w:pStyle w:val="Compact"/>
        <w:spacing w:before="0" w:after="0"/>
        <w:jc w:val="both"/>
      </w:pPr>
      <w:r>
        <w:t xml:space="preserve">Staff competencies and training</w:t>
      </w:r>
    </w:p>
    <w:p>
      <w:pPr>
        <w:numPr>
          <w:ilvl w:val="0"/>
          <w:numId w:val="1002"/>
        </w:numPr>
        <w:pStyle w:val="Compact"/>
        <w:spacing w:before="0" w:after="0"/>
        <w:jc w:val="both"/>
      </w:pPr>
      <w:r>
        <w:t xml:space="preserve">Risk-proportionate monitoring</w:t>
      </w:r>
    </w:p>
    <w:p>
      <w:pPr>
        <w:numPr>
          <w:ilvl w:val="0"/>
          <w:numId w:val="1002"/>
        </w:numPr>
        <w:pStyle w:val="Compact"/>
        <w:spacing w:before="0" w:after="0"/>
        <w:jc w:val="both"/>
      </w:pPr>
      <w:r>
        <w:t xml:space="preserve">Study feasibility</w:t>
      </w:r>
    </w:p>
    <w:p>
      <w:pPr>
        <w:numPr>
          <w:ilvl w:val="0"/>
          <w:numId w:val="1002"/>
        </w:numPr>
        <w:pStyle w:val="Compact"/>
        <w:spacing w:before="0" w:after="0"/>
        <w:jc w:val="both"/>
      </w:pPr>
      <w:r>
        <w:t xml:space="preserve">Data monitoring committee</w:t>
      </w:r>
    </w:p>
    <w:p>
      <w:pPr>
        <w:numPr>
          <w:ilvl w:val="0"/>
          <w:numId w:val="1002"/>
        </w:numPr>
        <w:pStyle w:val="Compact"/>
        <w:spacing w:before="0" w:after="0"/>
        <w:jc w:val="both"/>
      </w:pPr>
      <w:r>
        <w:t xml:space="preserve">Adequate sample size, duration, and visit frequency</w:t>
      </w:r>
    </w:p>
    <w:p>
      <w:pPr>
        <w:numPr>
          <w:ilvl w:val="0"/>
          <w:numId w:val="1002"/>
        </w:numPr>
        <w:pStyle w:val="Compact"/>
        <w:spacing w:before="0" w:after="0"/>
        <w:jc w:val="both"/>
      </w:pPr>
      <w:r>
        <w:t xml:space="preserve">Transparent and timely reporting</w:t>
      </w:r>
    </w:p>
    <w:p>
      <w:pPr>
        <w:pStyle w:val="FirstParagraph"/>
        <w:spacing w:before="0" w:after="0"/>
        <w:ind w:firstLine="720"/>
        <w:jc w:val="both"/>
      </w:pPr>
      <w:r>
        <w:t xml:space="preserve">Because our object was the site, we drew from ICH E8(R1) four criteria that apply to any attribute, whatever party it binds. ICH E6(R3) states each of them as well. The labels are ours, and neither guideline groups the principles in this way.</w:t>
      </w:r>
    </w:p>
    <w:p>
      <w:pPr>
        <w:numPr>
          <w:ilvl w:val="0"/>
          <w:numId w:val="1003"/>
        </w:numPr>
        <w:pStyle w:val="Compact"/>
        <w:spacing w:before="0" w:after="0"/>
        <w:jc w:val="both"/>
      </w:pPr>
      <w:r>
        <w:rPr>
          <w:iCs/>
          <w:i/>
        </w:rPr>
        <w:t xml:space="preserve">Proportionality.</w:t>
      </w:r>
      <w:r>
        <w:t xml:space="preserve"> </w:t>
      </w:r>
      <w:r>
        <w:t xml:space="preserve">Study procedures and controls are scaled to the risks of the study and to the importance of the data they produce (ICH E8(R1), Section 3.2; ICH E6(R3), Principle 7) [5, 6].</w:t>
      </w:r>
    </w:p>
    <w:p>
      <w:pPr>
        <w:numPr>
          <w:ilvl w:val="0"/>
          <w:numId w:val="1003"/>
        </w:numPr>
        <w:pStyle w:val="Compact"/>
        <w:spacing w:before="0" w:after="0"/>
        <w:jc w:val="both"/>
      </w:pPr>
      <w:r>
        <w:rPr>
          <w:iCs/>
          <w:i/>
        </w:rPr>
        <w:t xml:space="preserve">Parsimony.</w:t>
      </w:r>
      <w:r>
        <w:t xml:space="preserve"> </w:t>
      </w:r>
      <w:r>
        <w:t xml:space="preserve">The set of critical factors stays focused. Data and activities that serve neither participant protection nor the primary objectives are left out (ICH E8(R1), Sections 3.2 and 3.3.2) [5].</w:t>
      </w:r>
    </w:p>
    <w:p>
      <w:pPr>
        <w:numPr>
          <w:ilvl w:val="0"/>
          <w:numId w:val="1003"/>
        </w:numPr>
        <w:pStyle w:val="Compact"/>
        <w:spacing w:before="0" w:after="0"/>
        <w:jc w:val="both"/>
      </w:pPr>
      <w:r>
        <w:rPr>
          <w:iCs/>
          <w:i/>
        </w:rPr>
        <w:t xml:space="preserve">Assigned responsibility.</w:t>
      </w:r>
      <w:r>
        <w:t xml:space="preserve"> </w:t>
      </w:r>
      <w:r>
        <w:t xml:space="preserve">The identification and protection of critical factors are allocated to defined parties, with qualified staff and sufficient resources. At the site, the investigator confirms that each person given a delegated activity is qualified for it (ICH E6(R3), Sections 2.3.2 and 3.2 to 3.4) [5, 6].</w:t>
      </w:r>
    </w:p>
    <w:p>
      <w:pPr>
        <w:numPr>
          <w:ilvl w:val="0"/>
          <w:numId w:val="1003"/>
        </w:numPr>
        <w:pStyle w:val="Compact"/>
        <w:spacing w:before="0" w:after="0"/>
        <w:jc w:val="both"/>
      </w:pPr>
      <w:r>
        <w:rPr>
          <w:iCs/>
          <w:i/>
        </w:rPr>
        <w:t xml:space="preserve">Reliance on existing knowledge.</w:t>
      </w:r>
      <w:r>
        <w:t xml:space="preserve"> </w:t>
      </w:r>
      <w:r>
        <w:t xml:space="preserve">What is known about the product and the condition, and about the population for which the product is intended, determines which factors are treated as critical and which controls apply, and both are revised as knowledge grows during the study (ICH E8(R1), Section 3.2; ICH E6(R3), Principle 4 and Section 3.10.1.5) [5, 6].</w:t>
      </w:r>
    </w:p>
    <w:p>
      <w:pPr>
        <w:pStyle w:val="Heading3"/>
        <w:spacing w:before="240" w:after="120"/>
      </w:pPr>
      <w:r>
        <w:t xml:space="preserve">2.3.2 Derivation of the site-level CtQ domains</w:t>
      </w:r>
    </w:p>
    <w:p>
      <w:pPr>
        <w:pStyle w:val="FirstParagraph"/>
        <w:spacing w:before="0" w:after="0"/>
        <w:ind w:firstLine="720"/>
        <w:jc w:val="both"/>
      </w:pPr>
      <w:r>
        <w:t xml:space="preserve">We built the domains from the matrix of Section 2.2.2 in three steps. The first step removed the attributes that a site-level framework does not need to cover, using three filters:</w:t>
      </w:r>
    </w:p>
    <w:p>
      <w:pPr>
        <w:numPr>
          <w:ilvl w:val="0"/>
          <w:numId w:val="1004"/>
        </w:numPr>
        <w:pStyle w:val="Compact"/>
        <w:spacing w:before="0" w:after="0"/>
        <w:jc w:val="both"/>
      </w:pPr>
      <w:r>
        <w:rPr>
          <w:iCs/>
          <w:i/>
        </w:rPr>
        <w:t xml:space="preserve">Responsibility.</w:t>
      </w:r>
      <w:r>
        <w:t xml:space="preserve"> </w:t>
      </w:r>
      <w:r>
        <w:t xml:space="preserve">We removed attributes that only the sponsor controls. We kept an attribute when the duty formally belongs to the sponsor but the work done at the site decides whether it is met.</w:t>
      </w:r>
    </w:p>
    <w:p>
      <w:pPr>
        <w:numPr>
          <w:ilvl w:val="0"/>
          <w:numId w:val="1004"/>
        </w:numPr>
        <w:pStyle w:val="Compact"/>
        <w:spacing w:before="0" w:after="0"/>
        <w:jc w:val="both"/>
      </w:pPr>
      <w:r>
        <w:rPr>
          <w:iCs/>
          <w:i/>
        </w:rPr>
        <w:t xml:space="preserve">Scope.</w:t>
      </w:r>
      <w:r>
        <w:t xml:space="preserve"> </w:t>
      </w:r>
      <w:r>
        <w:t xml:space="preserve">We removed attributes that fall outside the limits of this thesis, and attributes that would add more complexity than value.</w:t>
      </w:r>
    </w:p>
    <w:p>
      <w:pPr>
        <w:numPr>
          <w:ilvl w:val="0"/>
          <w:numId w:val="1004"/>
        </w:numPr>
        <w:pStyle w:val="Compact"/>
        <w:spacing w:before="0" w:after="0"/>
        <w:jc w:val="both"/>
      </w:pPr>
      <w:r>
        <w:rPr>
          <w:iCs/>
          <w:i/>
        </w:rPr>
        <w:t xml:space="preserve">Relevance.</w:t>
      </w:r>
      <w:r>
        <w:t xml:space="preserve"> </w:t>
      </w:r>
      <w:r>
        <w:t xml:space="preserve">We removed attributes that do not apply to a surgical device investigation.</w:t>
      </w:r>
    </w:p>
    <w:p>
      <w:pPr>
        <w:pStyle w:val="FirstParagraph"/>
        <w:spacing w:before="0" w:after="0"/>
        <w:ind w:firstLine="720"/>
        <w:jc w:val="both"/>
      </w:pPr>
      <w:r>
        <w:t xml:space="preserve">We did not remove an attribute because only one instrument requires it, since a single instrument is enough to bind the site.</w:t>
      </w:r>
    </w:p>
    <w:p>
      <w:pPr>
        <w:pStyle w:val="BodyText"/>
        <w:spacing w:before="0" w:after="0"/>
        <w:ind w:firstLine="720"/>
        <w:jc w:val="both"/>
      </w:pPr>
      <w:r>
        <w:t xml:space="preserve">In the second step, we grouped the remaining attributes by the operational area of a surgical investigation to which they relate, and each group became a candidate domain. Attributes on the storage and dispensing of the investigational product and on its accountability, for example, were grouped with attributes on unit-level traceability, because all of them concern the handling of the device.</w:t>
      </w:r>
    </w:p>
    <w:p>
      <w:pPr>
        <w:pStyle w:val="BodyText"/>
        <w:spacing w:before="0" w:after="0"/>
        <w:ind w:firstLine="720"/>
        <w:jc w:val="both"/>
      </w:pPr>
      <w:r>
        <w:t xml:space="preserve">In the third step, we tested each candidate domain against the four criteria of Section 2.3.1, applied together as a single judgment. For each domain we assessed whether a failure would affect participant protection or the reliability of the results to a meaningful degree, weighing its likelihood against its consequences. We also assessed whether control of the domain demands an assigned responsibility, and to which party it should be assigned. Finally, we checked whether the issue had already been identified, in the literature or in internal records, together with the risks and difficulties associated with it and any response or solution already available. Section 3.3 reports the retained domains.</w:t>
      </w:r>
    </w:p>
    <w:p>
      <w:pPr>
        <w:pStyle w:val="Heading3"/>
        <w:spacing w:before="240" w:after="120"/>
      </w:pPr>
      <w:r>
        <w:t xml:space="preserve">2.3.3 Formulation of the design requirements</w:t>
      </w:r>
    </w:p>
    <w:p>
      <w:pPr>
        <w:pStyle w:val="FirstParagraph"/>
        <w:spacing w:before="0" w:after="0"/>
        <w:ind w:firstLine="720"/>
        <w:jc w:val="both"/>
      </w:pPr>
      <w:r>
        <w:t xml:space="preserve">A design requirement states what the framework must be able to do, and each component of the framework can later be checked against it. We formulated the requirements from the gaps and the CtQ domains, together with the operating conditions reported in Section 3.4.</w:t>
      </w:r>
    </w:p>
    <w:p>
      <w:pPr>
        <w:pStyle w:val="BodyText"/>
        <w:spacing w:before="0" w:after="0"/>
        <w:ind w:firstLine="720"/>
        <w:jc w:val="both"/>
      </w:pPr>
      <w:r>
        <w:t xml:space="preserve">A finding became a design requirement when it met two conditions. It had to name something the site must be able to do that the three instruments compared do not turn into a site-level procedure. This covered obligations that fall on the sponsor and obligations that the site holds without an operational means to meet them, as well as needs that no instrument assigns to any party. It also had to be actionable at site level, meaning that a site could meet it with resources it controls. Findings that failed the first condition were set aside as already covered in operational form, and findings that failed the second were left to the sponsor. Section 3.5 states the resulting requirements, DR1 to DR12, and each one names its origin.</w:t>
      </w:r>
    </w:p>
    <w:p>
      <w:pPr>
        <w:pStyle w:val="Heading2"/>
        <w:spacing w:before="240" w:after="120"/>
      </w:pPr>
      <w:r>
        <w:t xml:space="preserve">2.4 Design and development</w:t>
      </w:r>
    </w:p>
    <w:p>
      <w:pPr>
        <w:pStyle w:val="Heading3"/>
        <w:spacing w:before="240" w:after="120"/>
      </w:pPr>
      <w:r>
        <w:t xml:space="preserve">2.4.1 Derivation of the pillars</w:t>
      </w:r>
    </w:p>
    <w:p>
      <w:pPr>
        <w:pStyle w:val="FirstParagraph"/>
        <w:spacing w:before="0" w:after="0"/>
        <w:ind w:firstLine="720"/>
        <w:jc w:val="both"/>
      </w:pPr>
      <w:r>
        <w:t xml:space="preserve">We used standards that govern other organizations in the device conformity chain as structural references. The four pillars follow the main clauses of ISO 13485, management responsibility (Clause 5), product realization (Clause 7), and measurement, analysis and improvement (Clause 8) [52]. ISO 13485 treats risk as an approach applied across these processes (Clauses 4.1.2 and 7.1), while ISO 14971 sets risk management out as a documented cycle of its own, from planning and analysis through evaluation, control, review, and post-production activity [53]. We therefore made risk management a separate pillar, which gave four functions: Governance, Risk Management, Operational Controls, and Performance Oversight. ISO 14155:2026 places clinical quality management on the sponsor (Clause 9.1), and none of these standards was written for the investigational site [8].</w:t>
      </w:r>
    </w:p>
    <w:p>
      <w:pPr>
        <w:pStyle w:val="BodyText"/>
        <w:spacing w:before="0" w:after="0"/>
        <w:ind w:firstLine="720"/>
        <w:jc w:val="both"/>
      </w:pPr>
      <w:r>
        <w:t xml:space="preserve">ISO 15189:2022, which sets requirements for quality and competence in medical laboratories, served as a second structural reference, because a medical laboratory, like an investigational site, produces results on which another party bases a decision [54]. Its requirements follow the same order. Clause 5 sets out structural and governance requirements and places risk management among them (Clause 5.6), and Clause 7 organizes the process requirements by phase, into pre-examination, examination, and post-examination processes. Clause 8 covers the management system, including actions on risks and opportunities (Clause 8.5), and evaluations through quality indicators and internal audits (Clause 8.8), followed by management reviews (Clause 8.9).</w:t>
      </w:r>
      <w:r>
        <w:t xml:space="preserve"> </w:t>
      </w:r>
      <w:r>
        <w:rPr>
          <w:bCs/>
          <w:b/>
        </w:rPr>
        <w:t xml:space="preserve">[We used its organization of processes by phase as a model for organizing the operational controls around the phases of a surgical investigation (Section 4.6).]</w:t>
      </w:r>
      <w:r>
        <w:t xml:space="preserve"> </w:t>
      </w:r>
      <w:r>
        <w:t xml:space="preserve">Section 4.1 gives the clause mapping behind each pillar.</w:t>
      </w:r>
    </w:p>
    <w:p>
      <w:pPr>
        <w:pStyle w:val="BodyText"/>
        <w:spacing w:before="0" w:after="0"/>
        <w:ind w:firstLine="720"/>
        <w:jc w:val="both"/>
      </w:pPr>
      <w:r>
        <w:t xml:space="preserve">We then mapped each design requirement onto the pillar whose function it belongs to. Table 4.1 reports the mapping and lists each requirement against the components that answer it, so the correspondence can be checked in both directions.</w:t>
      </w:r>
    </w:p>
    <w:p>
      <w:pPr>
        <w:pStyle w:val="Heading3"/>
        <w:spacing w:before="240" w:after="120"/>
      </w:pPr>
      <w:r>
        <w:t xml:space="preserve">2.4.2 Development of the operational instruments</w:t>
      </w:r>
    </w:p>
    <w:p>
      <w:pPr>
        <w:pStyle w:val="FirstParagraph"/>
        <w:spacing w:before="0" w:after="0"/>
        <w:ind w:firstLine="720"/>
        <w:jc w:val="both"/>
      </w:pPr>
      <w:r>
        <w:t xml:space="preserve">We developed the instruments of each pillar from three inputs, used in a fixed order. We started from the mechanisms set apart in Section 2.2.2, which the ICH guidelines use to put CtQ factors into practice. Both guidelines evaluate a risk by its likelihood and its impact, and by how easily it can be detected, and ICH E6(R3) also asks for prespecified acceptable ranges, including trial-level quality tolerance limits where appropriate [5, 6]. We turned that logic into records held by the site, and the CTTI QbD Documentation Tool and the 2016 MDIC device material informed the adaptation. We then considered the operating conditions reported in Section 3.4 and what each one demands of a document. Finally, we adapted familiar clinical research formats, such as risk registers and delegation logs, and changed their content and ownership to fit the site-level purpose.</w:t>
      </w:r>
    </w:p>
    <w:p>
      <w:pPr>
        <w:pStyle w:val="BodyText"/>
        <w:spacing w:before="0" w:after="0"/>
        <w:ind w:firstLine="720"/>
        <w:jc w:val="both"/>
      </w:pPr>
      <w:r>
        <w:t xml:space="preserve">Each instrument carries the requirement it answers. Section 4.8 reports the instrument set, and Appendices A to X present the templates.</w:t>
      </w:r>
    </w:p>
    <w:p>
      <w:pPr>
        <w:pStyle w:val="Heading2"/>
        <w:spacing w:before="240" w:after="120"/>
      </w:pPr>
      <w:r>
        <w:t xml:space="preserve">2.5 Methodological limitations and validation status</w:t>
      </w:r>
    </w:p>
    <w:p>
      <w:pPr>
        <w:pStyle w:val="FirstParagraph"/>
        <w:spacing w:before="0" w:after="0"/>
        <w:ind w:firstLine="720"/>
        <w:jc w:val="both"/>
      </w:pPr>
      <w:r>
        <w:t xml:space="preserve">One researcher carried out the qualitative steps of the work, from the reading of the instruments and the classification of the registry organizations to the derivation of the domains and the requirements. No second independent assessor was available, so interrater agreement could not be measured, and we do not know how far an independent reading would agree with these steps.</w:t>
      </w:r>
    </w:p>
    <w:p>
      <w:pPr>
        <w:pStyle w:val="BodyText"/>
        <w:spacing w:before="0" w:after="0"/>
        <w:ind w:firstLine="720"/>
        <w:jc w:val="both"/>
      </w:pPr>
      <w:r>
        <w:t xml:space="preserve">The literature review was narrative, so any absence of published work reported in this thesis is an outcome of the review and does not show that no such work exists.</w:t>
      </w:r>
    </w:p>
    <w:p>
      <w:pPr>
        <w:pStyle w:val="BodyText"/>
        <w:spacing w:before="0" w:after="0"/>
        <w:ind w:firstLine="720"/>
        <w:jc w:val="both"/>
      </w:pPr>
      <w:r>
        <w:t xml:space="preserve">The registry analysis depends on the facility fields that sponsors enter in ClinicalTrials.gov (Section 2.2.5). The classification relied on public institutional information, which may not show daily operational arrangements or informal affiliations and may be out of date where an organization changed recently, so it describes the documented institutional structure at the time of verification. The sample was concentrated in the United States, which accounted for 149 of the 235 organizations (63.4%) and for 60 of the 65 nonhospital organizations, so the distribution does not represent European investigation sites. Each site record contributed one observation, so organizations that take part in many investigations carry more weight than those that took part once. A site record does not show how many participants an organization enrolled, so the distribution describes how often each environment hosts an investigation and does not measure its share of enrolled participants.</w:t>
      </w:r>
    </w:p>
    <w:p>
      <w:pPr>
        <w:pStyle w:val="BodyText"/>
        <w:spacing w:before="0" w:after="0"/>
        <w:ind w:firstLine="720"/>
        <w:jc w:val="both"/>
      </w:pPr>
      <w:r>
        <w:t xml:space="preserve">The framework has not been implemented at a site or tested empirically. Its components are traceable to documented evidence and to stated requirements, but traceability does not make them validated. Where this thesis describes what the framework is designed to enable, it describes a design intention, and any operational benefit remains an expectation until an implementation study measures it. Section 5.7 sets out what such a study would need to establish.</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2026-10-17T11:14:57Z</dcterms:created>
  <dcterms:modified xsi:type="dcterms:W3CDTF">2026-10-17T11:14:57Z</dcterms:modified>
</cp:coreProperties>
</file>

<file path=docProps/custom.xml><?xml version="1.0" encoding="utf-8"?>
<Properties xmlns="http://schemas.openxmlformats.org/officeDocument/2006/custom-properties" xmlns:vt="http://schemas.openxmlformats.org/officeDocument/2006/docPropsVTypes"/>
</file>