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5B52" w14:textId="77777777" w:rsidR="003B689F" w:rsidRPr="00DA0BAB" w:rsidRDefault="003B689F" w:rsidP="003B689F">
      <w:pPr>
        <w:jc w:val="center"/>
        <w:rPr>
          <w:rFonts w:ascii="Garamond" w:hAnsi="Garamond"/>
          <w:b/>
          <w:bCs/>
          <w:sz w:val="44"/>
          <w:szCs w:val="44"/>
          <w:u w:val="single"/>
        </w:rPr>
      </w:pPr>
      <w:r w:rsidRPr="00DA0BAB">
        <w:rPr>
          <w:rFonts w:ascii="Garamond" w:hAnsi="Garamond"/>
          <w:b/>
          <w:bCs/>
          <w:sz w:val="44"/>
          <w:szCs w:val="44"/>
          <w:u w:val="single"/>
        </w:rPr>
        <w:t>PB230 Replication</w:t>
      </w:r>
    </w:p>
    <w:p w14:paraId="644C4A01" w14:textId="77777777" w:rsidR="003B689F" w:rsidRPr="004A4FD8" w:rsidRDefault="003B689F" w:rsidP="003B689F">
      <w:pPr>
        <w:jc w:val="center"/>
        <w:rPr>
          <w:rFonts w:ascii="Garamond" w:hAnsi="Garamond"/>
          <w:b/>
          <w:bCs/>
          <w:sz w:val="44"/>
          <w:szCs w:val="44"/>
          <w:u w:val="single"/>
        </w:rPr>
      </w:pPr>
      <w:r w:rsidRPr="004A4FD8">
        <w:rPr>
          <w:rFonts w:ascii="Garamond" w:hAnsi="Garamond"/>
          <w:b/>
          <w:bCs/>
          <w:sz w:val="44"/>
          <w:szCs w:val="44"/>
          <w:u w:val="single"/>
        </w:rPr>
        <w:t>Study Preregistration</w:t>
      </w:r>
    </w:p>
    <w:p w14:paraId="5DBFF3CF" w14:textId="77777777" w:rsidR="003B689F" w:rsidRPr="004A4FD8" w:rsidRDefault="003B689F" w:rsidP="003B689F">
      <w:pPr>
        <w:rPr>
          <w:rFonts w:ascii="Garamond" w:hAnsi="Garamond"/>
          <w:sz w:val="28"/>
          <w:szCs w:val="28"/>
        </w:rPr>
      </w:pPr>
    </w:p>
    <w:p w14:paraId="27F9382C" w14:textId="77777777" w:rsidR="003B689F" w:rsidRPr="004A4FD8" w:rsidRDefault="003B689F" w:rsidP="003B689F">
      <w:pPr>
        <w:rPr>
          <w:rFonts w:ascii="Garamond" w:hAnsi="Garamond"/>
          <w:sz w:val="26"/>
          <w:szCs w:val="26"/>
        </w:rPr>
      </w:pPr>
    </w:p>
    <w:p w14:paraId="1EECC003" w14:textId="77777777" w:rsidR="003B689F" w:rsidRDefault="003B689F" w:rsidP="003B689F">
      <w:pPr>
        <w:rPr>
          <w:rFonts w:ascii="Garamond" w:hAnsi="Garamond"/>
          <w:sz w:val="32"/>
          <w:szCs w:val="32"/>
        </w:rPr>
      </w:pPr>
      <w:r w:rsidRPr="004A4FD8">
        <w:rPr>
          <w:rFonts w:ascii="Garamond" w:hAnsi="Garamond"/>
          <w:b/>
          <w:sz w:val="32"/>
          <w:szCs w:val="32"/>
        </w:rPr>
        <w:t xml:space="preserve">Study Title: </w:t>
      </w:r>
      <w:r w:rsidRPr="004A4FD8">
        <w:rPr>
          <w:rFonts w:ascii="Garamond" w:hAnsi="Garamond"/>
          <w:i/>
          <w:sz w:val="32"/>
          <w:szCs w:val="32"/>
        </w:rPr>
        <w:t xml:space="preserve">Critical Period Effects in Second Language Learning: The Influence of Maturational State on the Acquisition of English as a Second Language </w:t>
      </w:r>
      <w:r w:rsidRPr="004A4FD8">
        <w:rPr>
          <w:rFonts w:ascii="Garamond" w:hAnsi="Garamond"/>
          <w:sz w:val="32"/>
          <w:szCs w:val="32"/>
        </w:rPr>
        <w:t xml:space="preserve">by Jacqueline S. Johnson &amp; Elissa L. Newport (1989, </w:t>
      </w:r>
      <w:r w:rsidRPr="004A4FD8">
        <w:rPr>
          <w:rFonts w:ascii="Garamond" w:hAnsi="Garamond"/>
          <w:i/>
          <w:iCs/>
          <w:sz w:val="32"/>
          <w:szCs w:val="32"/>
        </w:rPr>
        <w:t>Cognitive Psychology</w:t>
      </w:r>
      <w:r w:rsidRPr="004A4FD8">
        <w:rPr>
          <w:rFonts w:ascii="Garamond" w:hAnsi="Garamond"/>
          <w:sz w:val="32"/>
          <w:szCs w:val="32"/>
        </w:rPr>
        <w:t>)</w:t>
      </w:r>
    </w:p>
    <w:p w14:paraId="7B8EE643" w14:textId="77777777" w:rsidR="003B689F" w:rsidRPr="00D67963" w:rsidRDefault="003B689F" w:rsidP="003B689F">
      <w:pPr>
        <w:rPr>
          <w:rFonts w:ascii="Garamond" w:hAnsi="Garamond"/>
          <w:sz w:val="28"/>
          <w:szCs w:val="28"/>
        </w:rPr>
      </w:pPr>
    </w:p>
    <w:p w14:paraId="34249ADE" w14:textId="77777777" w:rsidR="003B689F" w:rsidRPr="00D67963" w:rsidRDefault="003B689F" w:rsidP="003B689F">
      <w:pPr>
        <w:rPr>
          <w:rFonts w:ascii="Garamond" w:hAnsi="Garamond"/>
          <w:i/>
          <w:sz w:val="28"/>
          <w:szCs w:val="28"/>
        </w:rPr>
      </w:pPr>
    </w:p>
    <w:p w14:paraId="7B55FA4E" w14:textId="33E602B2" w:rsidR="003B689F" w:rsidRPr="00586423" w:rsidRDefault="003B689F" w:rsidP="003B689F">
      <w:pPr>
        <w:pStyle w:val="Heading1"/>
        <w:spacing w:before="0"/>
        <w:jc w:val="center"/>
        <w:rPr>
          <w:rFonts w:ascii="Garamond" w:hAnsi="Garamond" w:cs="Times New Roman"/>
          <w:color w:val="auto"/>
        </w:rPr>
      </w:pPr>
      <w:r w:rsidRPr="00586423">
        <w:rPr>
          <w:rFonts w:ascii="Garamond" w:hAnsi="Garamond" w:cs="Times New Roman"/>
          <w:color w:val="auto"/>
        </w:rPr>
        <w:t xml:space="preserve">I. </w:t>
      </w:r>
      <w:r>
        <w:rPr>
          <w:rFonts w:ascii="Garamond" w:hAnsi="Garamond" w:cs="Times New Roman"/>
          <w:color w:val="auto"/>
        </w:rPr>
        <w:t xml:space="preserve">Preliminary Analyses </w:t>
      </w:r>
    </w:p>
    <w:p w14:paraId="60860ACF" w14:textId="77777777" w:rsidR="00F2620E" w:rsidRPr="00586423" w:rsidRDefault="00F2620E" w:rsidP="00F2620E">
      <w:pPr>
        <w:jc w:val="center"/>
        <w:rPr>
          <w:rFonts w:ascii="Garamond" w:hAnsi="Garamond"/>
          <w:b/>
        </w:rPr>
      </w:pPr>
    </w:p>
    <w:p w14:paraId="315F1251" w14:textId="163503FB" w:rsidR="00F2620E" w:rsidRDefault="00F2620E" w:rsidP="00D67963">
      <w:pPr>
        <w:ind w:firstLine="720"/>
        <w:rPr>
          <w:rFonts w:ascii="Garamond" w:hAnsi="Garamond"/>
        </w:rPr>
      </w:pPr>
      <w:r>
        <w:rPr>
          <w:rFonts w:ascii="Garamond" w:hAnsi="Garamond"/>
        </w:rPr>
        <w:t>As this was a between-person experimental design, any missing data due to non-completion of the task were deleted listwise</w:t>
      </w:r>
      <w:r w:rsidRPr="006E1A7C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I had a final sample of </w:t>
      </w:r>
      <w:r w:rsidR="00D81175">
        <w:rPr>
          <w:rFonts w:ascii="Garamond" w:hAnsi="Garamond"/>
        </w:rPr>
        <w:t>2725</w:t>
      </w:r>
      <w:r>
        <w:rPr>
          <w:rFonts w:ascii="Garamond" w:hAnsi="Garamond"/>
        </w:rPr>
        <w:t xml:space="preserve"> participants</w:t>
      </w:r>
      <w:r w:rsidR="00D81175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The distributions of reported </w:t>
      </w:r>
      <w:r w:rsidR="00D67963">
        <w:rPr>
          <w:rFonts w:ascii="Garamond" w:hAnsi="Garamond"/>
        </w:rPr>
        <w:t>score</w:t>
      </w:r>
      <w:r>
        <w:rPr>
          <w:rFonts w:ascii="Garamond" w:hAnsi="Garamond"/>
        </w:rPr>
        <w:t xml:space="preserve"> </w:t>
      </w:r>
      <w:r w:rsidR="00D67963">
        <w:rPr>
          <w:rFonts w:ascii="Garamond" w:hAnsi="Garamond"/>
        </w:rPr>
        <w:t>were as follows: native</w:t>
      </w:r>
      <w:r>
        <w:rPr>
          <w:rFonts w:ascii="Garamond" w:hAnsi="Garamond"/>
        </w:rPr>
        <w:t xml:space="preserve"> skewness =</w:t>
      </w:r>
      <w:r w:rsidRPr="007076D5">
        <w:t xml:space="preserve"> </w:t>
      </w:r>
      <w:r w:rsidRPr="007076D5">
        <w:rPr>
          <w:rFonts w:ascii="Garamond" w:hAnsi="Garamond"/>
        </w:rPr>
        <w:t>-0.</w:t>
      </w:r>
      <w:r w:rsidR="00D67963">
        <w:rPr>
          <w:rFonts w:ascii="Garamond" w:hAnsi="Garamond"/>
        </w:rPr>
        <w:t>18</w:t>
      </w:r>
      <w:r>
        <w:rPr>
          <w:rFonts w:ascii="Garamond" w:hAnsi="Garamond"/>
        </w:rPr>
        <w:t xml:space="preserve">, kurtosis = </w:t>
      </w:r>
      <w:r w:rsidR="00D67963">
        <w:rPr>
          <w:rFonts w:ascii="Garamond" w:hAnsi="Garamond"/>
        </w:rPr>
        <w:t>.01</w:t>
      </w:r>
      <w:r>
        <w:rPr>
          <w:rFonts w:ascii="Garamond" w:hAnsi="Garamond"/>
        </w:rPr>
        <w:t xml:space="preserve">; </w:t>
      </w:r>
      <w:r w:rsidR="00D67963">
        <w:rPr>
          <w:rFonts w:ascii="Garamond" w:hAnsi="Garamond"/>
        </w:rPr>
        <w:t>3 to 7 age group</w:t>
      </w:r>
      <w:r>
        <w:rPr>
          <w:rFonts w:ascii="Garamond" w:hAnsi="Garamond"/>
        </w:rPr>
        <w:t xml:space="preserve"> skewness = </w:t>
      </w:r>
      <w:r w:rsidR="00D67963">
        <w:rPr>
          <w:rFonts w:ascii="Garamond" w:hAnsi="Garamond"/>
        </w:rPr>
        <w:t>-</w:t>
      </w:r>
      <w:r>
        <w:rPr>
          <w:rFonts w:ascii="Garamond" w:hAnsi="Garamond"/>
        </w:rPr>
        <w:t>.0</w:t>
      </w:r>
      <w:r w:rsidR="00D67963">
        <w:rPr>
          <w:rFonts w:ascii="Garamond" w:hAnsi="Garamond"/>
        </w:rPr>
        <w:t>2</w:t>
      </w:r>
      <w:r>
        <w:rPr>
          <w:rFonts w:ascii="Garamond" w:hAnsi="Garamond"/>
        </w:rPr>
        <w:t>, kurtosis = -.</w:t>
      </w:r>
      <w:r w:rsidR="00D67963">
        <w:rPr>
          <w:rFonts w:ascii="Garamond" w:hAnsi="Garamond"/>
        </w:rPr>
        <w:t xml:space="preserve">11, 8 </w:t>
      </w:r>
      <w:r w:rsidR="00D67963">
        <w:rPr>
          <w:rFonts w:ascii="Garamond" w:hAnsi="Garamond"/>
        </w:rPr>
        <w:t xml:space="preserve">to </w:t>
      </w:r>
      <w:r w:rsidR="00D67963">
        <w:rPr>
          <w:rFonts w:ascii="Garamond" w:hAnsi="Garamond"/>
        </w:rPr>
        <w:t>10</w:t>
      </w:r>
      <w:r w:rsidR="00D67963">
        <w:rPr>
          <w:rFonts w:ascii="Garamond" w:hAnsi="Garamond"/>
        </w:rPr>
        <w:t xml:space="preserve"> age group skewness = -.</w:t>
      </w:r>
      <w:r w:rsidR="00D67963">
        <w:rPr>
          <w:rFonts w:ascii="Garamond" w:hAnsi="Garamond"/>
        </w:rPr>
        <w:t>14</w:t>
      </w:r>
      <w:r w:rsidR="00D67963">
        <w:rPr>
          <w:rFonts w:ascii="Garamond" w:hAnsi="Garamond"/>
        </w:rPr>
        <w:t xml:space="preserve">, kurtosis = </w:t>
      </w:r>
      <w:r w:rsidR="00D67963">
        <w:rPr>
          <w:rFonts w:ascii="Garamond" w:hAnsi="Garamond"/>
        </w:rPr>
        <w:t>.02, 11</w:t>
      </w:r>
      <w:r w:rsidR="00D67963">
        <w:rPr>
          <w:rFonts w:ascii="Garamond" w:hAnsi="Garamond"/>
        </w:rPr>
        <w:t xml:space="preserve"> to </w:t>
      </w:r>
      <w:r w:rsidR="00D67963">
        <w:rPr>
          <w:rFonts w:ascii="Garamond" w:hAnsi="Garamond"/>
        </w:rPr>
        <w:t>15</w:t>
      </w:r>
      <w:r w:rsidR="00D67963">
        <w:rPr>
          <w:rFonts w:ascii="Garamond" w:hAnsi="Garamond"/>
        </w:rPr>
        <w:t xml:space="preserve"> age group skewness = .</w:t>
      </w:r>
      <w:r w:rsidR="00D67963">
        <w:rPr>
          <w:rFonts w:ascii="Garamond" w:hAnsi="Garamond"/>
        </w:rPr>
        <w:t>12</w:t>
      </w:r>
      <w:r w:rsidR="00D67963">
        <w:rPr>
          <w:rFonts w:ascii="Garamond" w:hAnsi="Garamond"/>
        </w:rPr>
        <w:t>, kurtosis = -.</w:t>
      </w:r>
      <w:r w:rsidR="00D67963">
        <w:rPr>
          <w:rFonts w:ascii="Garamond" w:hAnsi="Garamond"/>
        </w:rPr>
        <w:t>32, 17</w:t>
      </w:r>
      <w:r w:rsidR="00D67963">
        <w:rPr>
          <w:rFonts w:ascii="Garamond" w:hAnsi="Garamond"/>
        </w:rPr>
        <w:t xml:space="preserve"> to </w:t>
      </w:r>
      <w:r w:rsidR="00D67963">
        <w:rPr>
          <w:rFonts w:ascii="Garamond" w:hAnsi="Garamond"/>
        </w:rPr>
        <w:t>39</w:t>
      </w:r>
      <w:r w:rsidR="00D67963">
        <w:rPr>
          <w:rFonts w:ascii="Garamond" w:hAnsi="Garamond"/>
        </w:rPr>
        <w:t xml:space="preserve"> age group skewness = .0</w:t>
      </w:r>
      <w:r w:rsidR="00D67963">
        <w:rPr>
          <w:rFonts w:ascii="Garamond" w:hAnsi="Garamond"/>
        </w:rPr>
        <w:t>9</w:t>
      </w:r>
      <w:r w:rsidR="00D67963">
        <w:rPr>
          <w:rFonts w:ascii="Garamond" w:hAnsi="Garamond"/>
        </w:rPr>
        <w:t xml:space="preserve">, kurtosis = </w:t>
      </w:r>
      <w:r w:rsidR="00D67963">
        <w:rPr>
          <w:rFonts w:ascii="Garamond" w:hAnsi="Garamond"/>
        </w:rPr>
        <w:t>.04.</w:t>
      </w:r>
      <w:r>
        <w:rPr>
          <w:rFonts w:ascii="Garamond" w:hAnsi="Garamond"/>
        </w:rPr>
        <w:t xml:space="preserve"> Figure 1 shows the distribution of scores for </w:t>
      </w:r>
      <w:r w:rsidR="00D67963">
        <w:rPr>
          <w:rFonts w:ascii="Garamond" w:hAnsi="Garamond"/>
        </w:rPr>
        <w:t>all</w:t>
      </w:r>
      <w:r>
        <w:rPr>
          <w:rFonts w:ascii="Garamond" w:hAnsi="Garamond"/>
        </w:rPr>
        <w:t xml:space="preserve"> conditions.</w:t>
      </w:r>
    </w:p>
    <w:p w14:paraId="274E6D1E" w14:textId="77777777" w:rsidR="00F2620E" w:rsidRDefault="00F2620E" w:rsidP="00F2620E">
      <w:pPr>
        <w:rPr>
          <w:rFonts w:ascii="Garamond" w:hAnsi="Garamond"/>
        </w:rPr>
      </w:pPr>
    </w:p>
    <w:p w14:paraId="06BCDA83" w14:textId="77777777" w:rsidR="00F2620E" w:rsidRDefault="00F2620E" w:rsidP="00F2620E">
      <w:pPr>
        <w:rPr>
          <w:rFonts w:ascii="Garamond" w:hAnsi="Garamond"/>
        </w:rPr>
      </w:pPr>
    </w:p>
    <w:p w14:paraId="1D79D9D4" w14:textId="77777777" w:rsidR="00D67963" w:rsidRDefault="00D67963" w:rsidP="004C7BA8">
      <w:pPr>
        <w:jc w:val="center"/>
        <w:rPr>
          <w:rFonts w:ascii="Garamond" w:hAnsi="Garamond"/>
          <w:b/>
          <w:noProof/>
        </w:rPr>
      </w:pPr>
      <w:r w:rsidRPr="00D67963">
        <w:rPr>
          <w:rFonts w:ascii="Garamond" w:hAnsi="Garamond"/>
          <w:b/>
          <w:noProof/>
        </w:rPr>
        <w:drawing>
          <wp:inline distT="0" distB="0" distL="0" distR="0" wp14:anchorId="5303C298" wp14:editId="43DF5ACA">
            <wp:extent cx="4304963" cy="2653759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963" cy="26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1C69" w14:textId="77777777" w:rsidR="00D67963" w:rsidRDefault="00D67963" w:rsidP="00D67963">
      <w:pPr>
        <w:jc w:val="center"/>
        <w:rPr>
          <w:rFonts w:ascii="Garamond" w:hAnsi="Garamond"/>
          <w:b/>
          <w:noProof/>
        </w:rPr>
      </w:pPr>
    </w:p>
    <w:p w14:paraId="1617996D" w14:textId="66A656C8" w:rsidR="00F2620E" w:rsidRPr="007076D5" w:rsidRDefault="00F2620E" w:rsidP="00D67963">
      <w:pPr>
        <w:jc w:val="center"/>
        <w:rPr>
          <w:rFonts w:ascii="Garamond" w:hAnsi="Garamond"/>
          <w:b/>
          <w:noProof/>
        </w:rPr>
      </w:pPr>
      <w:r w:rsidRPr="00D5247E">
        <w:rPr>
          <w:rFonts w:ascii="Garamond" w:hAnsi="Garamond"/>
          <w:b/>
          <w:noProof/>
        </w:rPr>
        <w:t>Figure 1.</w:t>
      </w:r>
      <w:r>
        <w:rPr>
          <w:rFonts w:ascii="Garamond" w:hAnsi="Garamond"/>
          <w:bCs/>
          <w:noProof/>
        </w:rPr>
        <w:t xml:space="preserve"> Distribution of heads reported in cheating and cheater conditons. The mean for each conditon is represnted by the dashed red horizontal line.</w:t>
      </w:r>
    </w:p>
    <w:p w14:paraId="3048F49F" w14:textId="77777777" w:rsidR="00F2620E" w:rsidRDefault="00F2620E" w:rsidP="00F2620E">
      <w:pPr>
        <w:rPr>
          <w:rFonts w:ascii="Garamond" w:hAnsi="Garamond"/>
        </w:rPr>
      </w:pPr>
    </w:p>
    <w:p w14:paraId="79DD56FE" w14:textId="77777777" w:rsidR="00F2620E" w:rsidRDefault="00F2620E" w:rsidP="00F2620E">
      <w:pPr>
        <w:ind w:firstLine="720"/>
        <w:rPr>
          <w:rFonts w:ascii="Garamond" w:hAnsi="Garamond"/>
        </w:rPr>
      </w:pPr>
    </w:p>
    <w:p w14:paraId="3B5F494E" w14:textId="77777777" w:rsidR="00F2620E" w:rsidRDefault="00F2620E" w:rsidP="00F2620E">
      <w:pPr>
        <w:ind w:firstLine="720"/>
        <w:rPr>
          <w:rFonts w:ascii="Garamond" w:hAnsi="Garamond"/>
        </w:rPr>
      </w:pPr>
      <w:r w:rsidRPr="007076D5">
        <w:rPr>
          <w:rFonts w:ascii="Garamond" w:hAnsi="Garamond"/>
        </w:rPr>
        <w:t>Descriptive statistics for</w:t>
      </w:r>
      <w:r>
        <w:rPr>
          <w:rFonts w:ascii="Garamond" w:hAnsi="Garamond"/>
        </w:rPr>
        <w:t xml:space="preserve"> the number of heads reported in the cheating and cheater conditions</w:t>
      </w:r>
      <w:r w:rsidRPr="007076D5">
        <w:rPr>
          <w:rFonts w:ascii="Garamond" w:hAnsi="Garamond"/>
        </w:rPr>
        <w:t xml:space="preserve"> are presented in Table 1. </w:t>
      </w:r>
      <w:r>
        <w:rPr>
          <w:rFonts w:ascii="Garamond" w:hAnsi="Garamond"/>
        </w:rPr>
        <w:t>The mean number of heads reported in the cheating condition was 5.74 (SD = 1.14), whereas the mean number of heads reported in the cheater condition was 4.72</w:t>
      </w:r>
      <w:r w:rsidRPr="007076D5">
        <w:rPr>
          <w:rFonts w:ascii="Garamond" w:hAnsi="Garamond"/>
        </w:rPr>
        <w:t>.</w:t>
      </w:r>
      <w:r>
        <w:rPr>
          <w:rFonts w:ascii="Garamond" w:hAnsi="Garamond"/>
        </w:rPr>
        <w:t xml:space="preserve"> The descriptive provide initial support for the alternate confirmatory hypothesis.</w:t>
      </w:r>
    </w:p>
    <w:p w14:paraId="518C1911" w14:textId="77777777" w:rsidR="00F2620E" w:rsidRDefault="00F2620E" w:rsidP="00F2620E">
      <w:pPr>
        <w:ind w:firstLine="720"/>
        <w:rPr>
          <w:rFonts w:ascii="Garamond" w:hAnsi="Garamond"/>
        </w:rPr>
      </w:pPr>
    </w:p>
    <w:p w14:paraId="06AA71F4" w14:textId="2C8C3E8A" w:rsidR="00F2620E" w:rsidRDefault="00F2620E" w:rsidP="00F2620E">
      <w:pPr>
        <w:ind w:firstLine="720"/>
        <w:rPr>
          <w:rFonts w:ascii="Garamond" w:hAnsi="Garamond"/>
        </w:rPr>
      </w:pPr>
    </w:p>
    <w:p w14:paraId="1B480F79" w14:textId="77777777" w:rsidR="004C7BA8" w:rsidRDefault="004C7BA8" w:rsidP="00F2620E">
      <w:pPr>
        <w:ind w:firstLine="720"/>
        <w:rPr>
          <w:rFonts w:ascii="Garamond" w:hAnsi="Garamond"/>
        </w:rPr>
      </w:pPr>
    </w:p>
    <w:p w14:paraId="54BA185D" w14:textId="77777777" w:rsidR="00D67963" w:rsidRDefault="00D67963" w:rsidP="00D67963">
      <w:pPr>
        <w:widowControl w:val="0"/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lastRenderedPageBreak/>
        <w:t xml:space="preserve">Table 1 </w:t>
      </w:r>
    </w:p>
    <w:p w14:paraId="024583E0" w14:textId="77777777" w:rsidR="00D67963" w:rsidRDefault="00D67963" w:rsidP="00D67963">
      <w:pPr>
        <w:widowControl w:val="0"/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t xml:space="preserve"> </w:t>
      </w:r>
    </w:p>
    <w:p w14:paraId="3FE0E4EB" w14:textId="77777777" w:rsidR="00D67963" w:rsidRDefault="00D67963" w:rsidP="00D67963">
      <w:pPr>
        <w:widowControl w:val="0"/>
        <w:autoSpaceDE w:val="0"/>
        <w:autoSpaceDN w:val="0"/>
        <w:adjustRightInd w:val="0"/>
        <w:rPr>
          <w:i/>
          <w:iCs/>
          <w:lang w:val="en-GB"/>
        </w:rPr>
      </w:pPr>
      <w:r>
        <w:rPr>
          <w:i/>
          <w:iCs/>
          <w:lang w:val="en-GB"/>
        </w:rPr>
        <w:t xml:space="preserve">Descriptive statistics for score as a function of group. </w:t>
      </w:r>
    </w:p>
    <w:p w14:paraId="31BADC39" w14:textId="77777777" w:rsidR="00D67963" w:rsidRDefault="00D67963" w:rsidP="00D67963">
      <w:pPr>
        <w:widowControl w:val="0"/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51"/>
        <w:gridCol w:w="864"/>
        <w:gridCol w:w="864"/>
      </w:tblGrid>
      <w:tr w:rsidR="00D67963" w14:paraId="170163C2" w14:textId="77777777" w:rsidTr="00A479E5">
        <w:tblPrEx>
          <w:tblCellMar>
            <w:top w:w="0" w:type="dxa"/>
            <w:bottom w:w="0" w:type="dxa"/>
          </w:tblCellMar>
        </w:tblPrEx>
        <w:tc>
          <w:tcPr>
            <w:tcW w:w="205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9F40CF" w14:textId="77777777" w:rsidR="00D67963" w:rsidRDefault="00D67963" w:rsidP="00A479E5">
            <w:pPr>
              <w:widowControl w:val="0"/>
              <w:autoSpaceDE w:val="0"/>
              <w:autoSpaceDN w:val="0"/>
              <w:adjustRightInd w:val="0"/>
              <w:jc w:val="right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8637B1" w14:textId="77777777" w:rsidR="00D67963" w:rsidRDefault="00D67963" w:rsidP="00A479E5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GB"/>
              </w:rPr>
            </w:pPr>
            <w:r>
              <w:rPr>
                <w:i/>
                <w:iCs/>
                <w:lang w:val="en-GB"/>
              </w:rPr>
              <w:t>M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1349C1" w14:textId="77777777" w:rsidR="00D67963" w:rsidRDefault="00D67963" w:rsidP="00A479E5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GB"/>
              </w:rPr>
            </w:pPr>
            <w:r>
              <w:rPr>
                <w:i/>
                <w:iCs/>
                <w:lang w:val="en-GB"/>
              </w:rPr>
              <w:t>SD</w:t>
            </w:r>
          </w:p>
        </w:tc>
      </w:tr>
      <w:tr w:rsidR="00980491" w14:paraId="3E99C372" w14:textId="77777777" w:rsidTr="00A479E5">
        <w:tblPrEx>
          <w:tblCellMar>
            <w:top w:w="0" w:type="dxa"/>
            <w:bottom w:w="0" w:type="dxa"/>
          </w:tblCellMar>
        </w:tblPrEx>
        <w:tc>
          <w:tcPr>
            <w:tcW w:w="205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B5CB9A8" w14:textId="43F497FD" w:rsidR="00980491" w:rsidRDefault="00980491" w:rsidP="00980491">
            <w:pPr>
              <w:widowControl w:val="0"/>
              <w:autoSpaceDE w:val="0"/>
              <w:autoSpaceDN w:val="0"/>
              <w:adjustRightInd w:val="0"/>
              <w:jc w:val="right"/>
              <w:rPr>
                <w:lang w:val="en-GB"/>
              </w:rPr>
            </w:pPr>
            <w:r>
              <w:rPr>
                <w:lang w:val="en-GB"/>
              </w:rPr>
              <w:t>native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4B3401" w14:textId="1FC3DE63" w:rsidR="00980491" w:rsidRDefault="00980491" w:rsidP="00980491">
            <w:pPr>
              <w:widowControl w:val="0"/>
              <w:tabs>
                <w:tab w:val="decimal" w:leader="dot" w:pos="302"/>
              </w:tabs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268.64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16D944" w14:textId="39548604" w:rsidR="00980491" w:rsidRDefault="00980491" w:rsidP="00980491">
            <w:pPr>
              <w:widowControl w:val="0"/>
              <w:tabs>
                <w:tab w:val="decimal" w:leader="dot" w:pos="302"/>
              </w:tabs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2.93</w:t>
            </w:r>
          </w:p>
        </w:tc>
      </w:tr>
      <w:tr w:rsidR="00980491" w14:paraId="2E2940CE" w14:textId="77777777" w:rsidTr="00A479E5">
        <w:tblPrEx>
          <w:tblCellMar>
            <w:top w:w="0" w:type="dxa"/>
            <w:bottom w:w="0" w:type="dxa"/>
          </w:tblCellMar>
        </w:tblPrEx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BB9AB" w14:textId="500DA64D" w:rsidR="00980491" w:rsidRDefault="00980491" w:rsidP="00980491">
            <w:pPr>
              <w:widowControl w:val="0"/>
              <w:autoSpaceDE w:val="0"/>
              <w:autoSpaceDN w:val="0"/>
              <w:adjustRightInd w:val="0"/>
              <w:jc w:val="right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three_seven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E9304" w14:textId="59755071" w:rsidR="00980491" w:rsidRDefault="00980491" w:rsidP="00980491">
            <w:pPr>
              <w:widowControl w:val="0"/>
              <w:tabs>
                <w:tab w:val="decimal" w:leader="dot" w:pos="302"/>
              </w:tabs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269.31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AB547" w14:textId="6AB12AED" w:rsidR="00980491" w:rsidRDefault="00980491" w:rsidP="00980491">
            <w:pPr>
              <w:widowControl w:val="0"/>
              <w:tabs>
                <w:tab w:val="decimal" w:leader="dot" w:pos="302"/>
              </w:tabs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2.86</w:t>
            </w:r>
          </w:p>
        </w:tc>
      </w:tr>
      <w:tr w:rsidR="00980491" w14:paraId="7DB1C465" w14:textId="77777777" w:rsidTr="00A479E5">
        <w:tblPrEx>
          <w:tblCellMar>
            <w:top w:w="0" w:type="dxa"/>
            <w:bottom w:w="0" w:type="dxa"/>
          </w:tblCellMar>
        </w:tblPrEx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7FAC5" w14:textId="16A5C710" w:rsidR="00980491" w:rsidRDefault="00980491" w:rsidP="00980491">
            <w:pPr>
              <w:widowControl w:val="0"/>
              <w:autoSpaceDE w:val="0"/>
              <w:autoSpaceDN w:val="0"/>
              <w:adjustRightInd w:val="0"/>
              <w:jc w:val="right"/>
              <w:rPr>
                <w:lang w:val="en-GB"/>
              </w:rPr>
            </w:pPr>
            <w:proofErr w:type="spellStart"/>
            <w:r>
              <w:rPr>
                <w:lang w:val="en-GB"/>
              </w:rPr>
              <w:t>eight_ten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C52E5" w14:textId="51728729" w:rsidR="00980491" w:rsidRDefault="00980491" w:rsidP="00980491">
            <w:pPr>
              <w:widowControl w:val="0"/>
              <w:tabs>
                <w:tab w:val="decimal" w:leader="dot" w:pos="302"/>
              </w:tabs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256.51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51ACC" w14:textId="7B2F506A" w:rsidR="00980491" w:rsidRDefault="00980491" w:rsidP="00980491">
            <w:pPr>
              <w:widowControl w:val="0"/>
              <w:tabs>
                <w:tab w:val="decimal" w:leader="dot" w:pos="302"/>
              </w:tabs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6.00</w:t>
            </w:r>
          </w:p>
        </w:tc>
      </w:tr>
      <w:tr w:rsidR="00980491" w14:paraId="68BED025" w14:textId="77777777" w:rsidTr="00A479E5">
        <w:tblPrEx>
          <w:tblCellMar>
            <w:top w:w="0" w:type="dxa"/>
            <w:bottom w:w="0" w:type="dxa"/>
          </w:tblCellMar>
        </w:tblPrEx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8510D" w14:textId="1553B743" w:rsidR="00980491" w:rsidRDefault="00980491" w:rsidP="00980491">
            <w:pPr>
              <w:widowControl w:val="0"/>
              <w:autoSpaceDE w:val="0"/>
              <w:autoSpaceDN w:val="0"/>
              <w:adjustRightInd w:val="0"/>
              <w:jc w:val="right"/>
              <w:rPr>
                <w:lang w:val="en-GB"/>
              </w:rPr>
            </w:pPr>
            <w:proofErr w:type="spellStart"/>
            <w:r>
              <w:rPr>
                <w:lang w:val="en-GB"/>
              </w:rPr>
              <w:t>eleven_fifteen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A2B06" w14:textId="6A6643AC" w:rsidR="00980491" w:rsidRDefault="00980491" w:rsidP="00980491">
            <w:pPr>
              <w:widowControl w:val="0"/>
              <w:tabs>
                <w:tab w:val="decimal" w:leader="dot" w:pos="302"/>
              </w:tabs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235.67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17413" w14:textId="3B4C9532" w:rsidR="00980491" w:rsidRDefault="00980491" w:rsidP="00980491">
            <w:pPr>
              <w:widowControl w:val="0"/>
              <w:tabs>
                <w:tab w:val="decimal" w:leader="dot" w:pos="302"/>
              </w:tabs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13.08</w:t>
            </w:r>
          </w:p>
        </w:tc>
      </w:tr>
      <w:tr w:rsidR="00980491" w14:paraId="2C00E94A" w14:textId="77777777" w:rsidTr="00A479E5">
        <w:tblPrEx>
          <w:tblCellMar>
            <w:top w:w="0" w:type="dxa"/>
            <w:bottom w:w="0" w:type="dxa"/>
          </w:tblCellMar>
        </w:tblPrEx>
        <w:tc>
          <w:tcPr>
            <w:tcW w:w="205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B441413" w14:textId="38A3440E" w:rsidR="00980491" w:rsidRDefault="00980491" w:rsidP="00980491">
            <w:pPr>
              <w:widowControl w:val="0"/>
              <w:autoSpaceDE w:val="0"/>
              <w:autoSpaceDN w:val="0"/>
              <w:adjustRightInd w:val="0"/>
              <w:jc w:val="right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seventeen_thirtynine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307AC" w14:textId="658F9C86" w:rsidR="00980491" w:rsidRDefault="00980491" w:rsidP="00980491">
            <w:pPr>
              <w:widowControl w:val="0"/>
              <w:tabs>
                <w:tab w:val="decimal" w:leader="dot" w:pos="302"/>
              </w:tabs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210.20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0A4B8B" w14:textId="06F03196" w:rsidR="00980491" w:rsidRDefault="00980491" w:rsidP="00980491">
            <w:pPr>
              <w:widowControl w:val="0"/>
              <w:tabs>
                <w:tab w:val="decimal" w:leader="dot" w:pos="302"/>
              </w:tabs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23.89</w:t>
            </w:r>
          </w:p>
        </w:tc>
      </w:tr>
    </w:tbl>
    <w:p w14:paraId="3A0294E6" w14:textId="77777777" w:rsidR="00D67963" w:rsidRDefault="00D67963" w:rsidP="00D67963">
      <w:pPr>
        <w:widowControl w:val="0"/>
        <w:autoSpaceDE w:val="0"/>
        <w:autoSpaceDN w:val="0"/>
        <w:adjustRightInd w:val="0"/>
        <w:rPr>
          <w:lang w:val="en-GB"/>
        </w:rPr>
      </w:pPr>
    </w:p>
    <w:p w14:paraId="10170D4E" w14:textId="77777777" w:rsidR="00D67963" w:rsidRDefault="00D67963" w:rsidP="00D67963">
      <w:pPr>
        <w:widowControl w:val="0"/>
        <w:autoSpaceDE w:val="0"/>
        <w:autoSpaceDN w:val="0"/>
        <w:adjustRightInd w:val="0"/>
        <w:rPr>
          <w:lang w:val="en-GB"/>
        </w:rPr>
      </w:pPr>
      <w:r>
        <w:rPr>
          <w:i/>
          <w:iCs/>
          <w:lang w:val="en-GB"/>
        </w:rPr>
        <w:t>Note.</w:t>
      </w:r>
      <w:r>
        <w:rPr>
          <w:lang w:val="en-GB"/>
        </w:rPr>
        <w:t xml:space="preserve"> </w:t>
      </w:r>
      <w:r>
        <w:rPr>
          <w:i/>
          <w:iCs/>
          <w:lang w:val="en-GB"/>
        </w:rPr>
        <w:t>M</w:t>
      </w:r>
      <w:r>
        <w:rPr>
          <w:lang w:val="en-GB"/>
        </w:rPr>
        <w:t xml:space="preserve"> and </w:t>
      </w:r>
      <w:r>
        <w:rPr>
          <w:i/>
          <w:iCs/>
          <w:lang w:val="en-GB"/>
        </w:rPr>
        <w:t>SD</w:t>
      </w:r>
      <w:r>
        <w:rPr>
          <w:lang w:val="en-GB"/>
        </w:rPr>
        <w:t xml:space="preserve"> represent mean and standard deviation, respectively.</w:t>
      </w:r>
    </w:p>
    <w:p w14:paraId="47C44B0A" w14:textId="1B61B98B" w:rsidR="004C7BA8" w:rsidRDefault="004C7BA8" w:rsidP="00F2620E">
      <w:pPr>
        <w:pStyle w:val="Heading1"/>
        <w:jc w:val="center"/>
        <w:rPr>
          <w:rFonts w:ascii="Garamond" w:hAnsi="Garamond" w:cs="Times New Roman"/>
          <w:color w:val="auto"/>
          <w:sz w:val="18"/>
          <w:szCs w:val="18"/>
        </w:rPr>
      </w:pPr>
    </w:p>
    <w:p w14:paraId="0F17D900" w14:textId="77777777" w:rsidR="004C7BA8" w:rsidRPr="004C7BA8" w:rsidRDefault="004C7BA8" w:rsidP="004C7BA8"/>
    <w:p w14:paraId="2997F740" w14:textId="2AC44CD5" w:rsidR="00F2620E" w:rsidRPr="00586423" w:rsidRDefault="00F2620E" w:rsidP="004C7BA8">
      <w:pPr>
        <w:pStyle w:val="Heading1"/>
        <w:spacing w:before="0"/>
        <w:jc w:val="center"/>
        <w:rPr>
          <w:rFonts w:ascii="Garamond" w:hAnsi="Garamond" w:cs="Times New Roman"/>
          <w:color w:val="auto"/>
        </w:rPr>
      </w:pPr>
      <w:r w:rsidRPr="00586423">
        <w:rPr>
          <w:rFonts w:ascii="Garamond" w:hAnsi="Garamond" w:cs="Times New Roman"/>
          <w:color w:val="auto"/>
        </w:rPr>
        <w:t>II.</w:t>
      </w:r>
      <w:r>
        <w:rPr>
          <w:rFonts w:ascii="Garamond" w:hAnsi="Garamond" w:cs="Times New Roman"/>
          <w:color w:val="auto"/>
        </w:rPr>
        <w:t xml:space="preserve"> Confirmatory Analysis</w:t>
      </w:r>
    </w:p>
    <w:p w14:paraId="45F527F8" w14:textId="77777777" w:rsidR="00F2620E" w:rsidRDefault="00F2620E" w:rsidP="00F2620E">
      <w:pPr>
        <w:rPr>
          <w:rFonts w:ascii="Garamond" w:hAnsi="Garamond"/>
          <w:b/>
        </w:rPr>
      </w:pPr>
    </w:p>
    <w:p w14:paraId="0EDDE9C1" w14:textId="77777777" w:rsidR="00980491" w:rsidRDefault="00980491" w:rsidP="00F2620E">
      <w:pPr>
        <w:ind w:firstLine="720"/>
        <w:rPr>
          <w:rFonts w:ascii="Garamond" w:hAnsi="Garamond"/>
          <w:bCs/>
        </w:rPr>
      </w:pPr>
      <w:r>
        <w:rPr>
          <w:rFonts w:ascii="Garamond" w:hAnsi="Garamond"/>
          <w:bCs/>
        </w:rPr>
        <w:t>Four</w:t>
      </w:r>
      <w:r w:rsidR="00F2620E" w:rsidRPr="00311A8C">
        <w:rPr>
          <w:rFonts w:ascii="Garamond" w:hAnsi="Garamond"/>
          <w:bCs/>
        </w:rPr>
        <w:t xml:space="preserve"> independent t-test</w:t>
      </w:r>
      <w:r>
        <w:rPr>
          <w:rFonts w:ascii="Garamond" w:hAnsi="Garamond"/>
          <w:bCs/>
        </w:rPr>
        <w:t xml:space="preserve">s were </w:t>
      </w:r>
      <w:r w:rsidR="00F2620E" w:rsidRPr="00311A8C">
        <w:rPr>
          <w:rFonts w:ascii="Garamond" w:hAnsi="Garamond"/>
          <w:bCs/>
        </w:rPr>
        <w:t xml:space="preserve">performed to test the difference in </w:t>
      </w:r>
      <w:r w:rsidR="00F2620E">
        <w:rPr>
          <w:rFonts w:ascii="Garamond" w:hAnsi="Garamond"/>
          <w:bCs/>
        </w:rPr>
        <w:t>mean</w:t>
      </w:r>
      <w:r>
        <w:rPr>
          <w:rFonts w:ascii="Garamond" w:hAnsi="Garamond"/>
          <w:bCs/>
        </w:rPr>
        <w:t xml:space="preserve"> English</w:t>
      </w:r>
      <w:r w:rsidR="00F2620E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 xml:space="preserve">grammar test score </w:t>
      </w:r>
      <w:r w:rsidR="00F2620E" w:rsidRPr="00311A8C">
        <w:rPr>
          <w:rFonts w:ascii="Garamond" w:hAnsi="Garamond"/>
          <w:bCs/>
        </w:rPr>
        <w:t>between</w:t>
      </w:r>
      <w:r>
        <w:rPr>
          <w:rFonts w:ascii="Garamond" w:hAnsi="Garamond"/>
          <w:bCs/>
          <w:lang w:eastAsia="ja-JP"/>
        </w:rPr>
        <w:t xml:space="preserve"> native English speakers, and those who were first exposed to English</w:t>
      </w:r>
      <w:r w:rsidR="00F2620E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as a second language at the age of 3-7, 8-10, 11-15, and 17-39</w:t>
      </w:r>
      <w:r w:rsidR="00F2620E" w:rsidRPr="00311A8C">
        <w:rPr>
          <w:rFonts w:ascii="Garamond" w:hAnsi="Garamond"/>
          <w:bCs/>
        </w:rPr>
        <w:t xml:space="preserve">. </w:t>
      </w:r>
      <w:r w:rsidR="00F2620E">
        <w:rPr>
          <w:rFonts w:ascii="Garamond" w:hAnsi="Garamond"/>
          <w:bCs/>
        </w:rPr>
        <w:t xml:space="preserve"> </w:t>
      </w:r>
    </w:p>
    <w:p w14:paraId="6CF2F01D" w14:textId="77777777" w:rsidR="00980491" w:rsidRDefault="00980491" w:rsidP="00F2620E">
      <w:pPr>
        <w:ind w:firstLine="720"/>
        <w:rPr>
          <w:rFonts w:ascii="Garamond" w:hAnsi="Garamond"/>
          <w:bCs/>
        </w:rPr>
      </w:pPr>
    </w:p>
    <w:p w14:paraId="690B2723" w14:textId="117D921E" w:rsidR="00F2620E" w:rsidRDefault="00F2620E" w:rsidP="00980491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P</w:t>
      </w:r>
      <w:r w:rsidRPr="00311A8C">
        <w:rPr>
          <w:rFonts w:ascii="Garamond" w:hAnsi="Garamond"/>
          <w:bCs/>
        </w:rPr>
        <w:t xml:space="preserve">articipants in the </w:t>
      </w:r>
      <w:r w:rsidR="00980491">
        <w:rPr>
          <w:rFonts w:ascii="Garamond" w:hAnsi="Garamond"/>
          <w:bCs/>
        </w:rPr>
        <w:t xml:space="preserve">native group </w:t>
      </w:r>
      <w:r w:rsidRPr="00311A8C">
        <w:rPr>
          <w:rFonts w:ascii="Garamond" w:hAnsi="Garamond"/>
          <w:bCs/>
        </w:rPr>
        <w:t xml:space="preserve">obtained </w:t>
      </w:r>
      <w:r w:rsidR="00980491">
        <w:rPr>
          <w:rFonts w:ascii="Garamond" w:hAnsi="Garamond"/>
          <w:bCs/>
        </w:rPr>
        <w:t xml:space="preserve">a </w:t>
      </w:r>
      <w:r w:rsidR="004D13C9">
        <w:rPr>
          <w:rFonts w:ascii="Garamond" w:hAnsi="Garamond"/>
          <w:bCs/>
        </w:rPr>
        <w:t xml:space="preserve">slightly </w:t>
      </w:r>
      <w:r w:rsidR="00980491">
        <w:rPr>
          <w:rFonts w:ascii="Garamond" w:hAnsi="Garamond"/>
          <w:bCs/>
        </w:rPr>
        <w:t xml:space="preserve">lower score </w:t>
      </w:r>
      <w:r w:rsidRPr="00311A8C">
        <w:rPr>
          <w:rFonts w:ascii="Garamond" w:hAnsi="Garamond"/>
          <w:bCs/>
        </w:rPr>
        <w:t>(M</w:t>
      </w:r>
      <w:r>
        <w:rPr>
          <w:rFonts w:ascii="Garamond" w:hAnsi="Garamond"/>
          <w:bCs/>
        </w:rPr>
        <w:t xml:space="preserve"> =</w:t>
      </w:r>
      <w:r w:rsidRPr="00311A8C">
        <w:rPr>
          <w:rFonts w:ascii="Garamond" w:hAnsi="Garamond"/>
          <w:bCs/>
        </w:rPr>
        <w:t xml:space="preserve"> </w:t>
      </w:r>
      <w:r w:rsidR="004D13C9">
        <w:rPr>
          <w:rFonts w:ascii="Garamond" w:hAnsi="Garamond"/>
          <w:bCs/>
        </w:rPr>
        <w:t>268.64</w:t>
      </w:r>
      <w:r w:rsidRPr="00311A8C">
        <w:rPr>
          <w:rFonts w:ascii="Garamond" w:hAnsi="Garamond"/>
          <w:bCs/>
        </w:rPr>
        <w:t xml:space="preserve">, SD </w:t>
      </w:r>
      <w:r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4D13C9">
        <w:rPr>
          <w:rFonts w:ascii="Garamond" w:hAnsi="Garamond"/>
          <w:bCs/>
        </w:rPr>
        <w:t>2.93</w:t>
      </w:r>
      <w:r w:rsidRPr="00311A8C">
        <w:rPr>
          <w:rFonts w:ascii="Garamond" w:hAnsi="Garamond"/>
          <w:bCs/>
        </w:rPr>
        <w:t>)</w:t>
      </w:r>
      <w:r>
        <w:rPr>
          <w:rFonts w:ascii="Garamond" w:hAnsi="Garamond"/>
          <w:bCs/>
        </w:rPr>
        <w:t xml:space="preserve"> </w:t>
      </w:r>
      <w:r w:rsidRPr="00311A8C">
        <w:rPr>
          <w:rFonts w:ascii="Garamond" w:hAnsi="Garamond"/>
          <w:bCs/>
        </w:rPr>
        <w:t>than did those in the</w:t>
      </w:r>
      <w:r w:rsidR="00980491">
        <w:rPr>
          <w:rFonts w:ascii="Garamond" w:hAnsi="Garamond"/>
          <w:bCs/>
        </w:rPr>
        <w:t xml:space="preserve"> 3-7 group </w:t>
      </w:r>
      <w:r w:rsidRPr="00311A8C">
        <w:rPr>
          <w:rFonts w:ascii="Garamond" w:hAnsi="Garamond"/>
          <w:bCs/>
        </w:rPr>
        <w:t xml:space="preserve">(M </w:t>
      </w:r>
      <w:r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4D13C9">
        <w:rPr>
          <w:rFonts w:ascii="Garamond" w:hAnsi="Garamond"/>
          <w:bCs/>
        </w:rPr>
        <w:t>269.31,</w:t>
      </w:r>
      <w:r w:rsidRPr="00311A8C">
        <w:rPr>
          <w:rFonts w:ascii="Garamond" w:hAnsi="Garamond"/>
          <w:bCs/>
        </w:rPr>
        <w:t xml:space="preserve"> SD </w:t>
      </w:r>
      <w:r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4D13C9">
        <w:rPr>
          <w:rFonts w:ascii="Garamond" w:hAnsi="Garamond"/>
          <w:bCs/>
        </w:rPr>
        <w:t>2.86</w:t>
      </w:r>
      <w:r w:rsidRPr="00311A8C">
        <w:rPr>
          <w:rFonts w:ascii="Garamond" w:hAnsi="Garamond"/>
          <w:bCs/>
        </w:rPr>
        <w:t>),</w:t>
      </w:r>
      <w:r>
        <w:rPr>
          <w:rFonts w:ascii="Garamond" w:hAnsi="Garamond"/>
          <w:bCs/>
        </w:rPr>
        <w:t xml:space="preserve"> </w:t>
      </w:r>
      <w:proofErr w:type="gramStart"/>
      <w:r w:rsidRPr="007A6962">
        <w:rPr>
          <w:rFonts w:ascii="Garamond" w:hAnsi="Garamond"/>
          <w:bCs/>
          <w:i/>
          <w:iCs/>
        </w:rPr>
        <w:t>t</w:t>
      </w:r>
      <w:r w:rsidRPr="00311A8C">
        <w:rPr>
          <w:rFonts w:ascii="Garamond" w:hAnsi="Garamond"/>
          <w:bCs/>
        </w:rPr>
        <w:t>(</w:t>
      </w:r>
      <w:proofErr w:type="gramEnd"/>
      <w:r w:rsidR="004D13C9">
        <w:rPr>
          <w:rFonts w:ascii="Garamond" w:hAnsi="Garamond"/>
          <w:bCs/>
        </w:rPr>
        <w:t>1088</w:t>
      </w:r>
      <w:r w:rsidRPr="00311A8C">
        <w:rPr>
          <w:rFonts w:ascii="Garamond" w:hAnsi="Garamond"/>
          <w:bCs/>
        </w:rPr>
        <w:t xml:space="preserve">) </w:t>
      </w:r>
      <w:r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4D13C9">
        <w:rPr>
          <w:rFonts w:ascii="Garamond" w:hAnsi="Garamond"/>
          <w:bCs/>
        </w:rPr>
        <w:t>-3.7965</w:t>
      </w:r>
      <w:r w:rsidRPr="00311A8C">
        <w:rPr>
          <w:rFonts w:ascii="Garamond" w:hAnsi="Garamond"/>
          <w:bCs/>
        </w:rPr>
        <w:t xml:space="preserve">, p </w:t>
      </w:r>
      <w:r>
        <w:rPr>
          <w:rFonts w:ascii="Garamond" w:hAnsi="Garamond"/>
          <w:bCs/>
        </w:rPr>
        <w:t>&lt; .001</w:t>
      </w:r>
      <w:r w:rsidRPr="00311A8C">
        <w:rPr>
          <w:rFonts w:ascii="Garamond" w:hAnsi="Garamond"/>
          <w:bCs/>
        </w:rPr>
        <w:t xml:space="preserve">, d </w:t>
      </w:r>
      <w:r>
        <w:rPr>
          <w:rFonts w:ascii="Garamond" w:hAnsi="Garamond"/>
          <w:bCs/>
        </w:rPr>
        <w:t xml:space="preserve">= </w:t>
      </w:r>
      <w:r w:rsidR="004D13C9">
        <w:rPr>
          <w:rFonts w:ascii="Garamond" w:hAnsi="Garamond"/>
          <w:bCs/>
        </w:rPr>
        <w:t>-0.23</w:t>
      </w:r>
      <w:r>
        <w:rPr>
          <w:rFonts w:ascii="Garamond" w:hAnsi="Garamond"/>
          <w:bCs/>
        </w:rPr>
        <w:t>.</w:t>
      </w:r>
      <w:r w:rsidRPr="00311A8C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T</w:t>
      </w:r>
      <w:r w:rsidRPr="00311A8C">
        <w:rPr>
          <w:rFonts w:ascii="Garamond" w:hAnsi="Garamond"/>
          <w:bCs/>
        </w:rPr>
        <w:t>here was a mean difference in</w:t>
      </w:r>
      <w:r w:rsidR="004D13C9">
        <w:rPr>
          <w:rFonts w:ascii="Garamond" w:hAnsi="Garamond"/>
          <w:bCs/>
        </w:rPr>
        <w:t xml:space="preserve"> score </w:t>
      </w:r>
      <w:r w:rsidRPr="00311A8C">
        <w:rPr>
          <w:rFonts w:ascii="Garamond" w:hAnsi="Garamond"/>
          <w:bCs/>
        </w:rPr>
        <w:t xml:space="preserve">between the groups of </w:t>
      </w:r>
      <w:r w:rsidR="004D13C9">
        <w:rPr>
          <w:rFonts w:ascii="Garamond" w:hAnsi="Garamond"/>
          <w:bCs/>
        </w:rPr>
        <w:t>0.6</w:t>
      </w:r>
      <w:r w:rsidR="0063364A">
        <w:rPr>
          <w:rFonts w:ascii="Garamond" w:hAnsi="Garamond"/>
          <w:bCs/>
        </w:rPr>
        <w:t>7</w:t>
      </w:r>
      <w:r w:rsidRPr="00311A8C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 xml:space="preserve">(see Figure </w:t>
      </w:r>
      <w:r w:rsidR="004D13C9">
        <w:rPr>
          <w:rFonts w:ascii="Garamond" w:hAnsi="Garamond"/>
          <w:bCs/>
        </w:rPr>
        <w:t>2</w:t>
      </w:r>
      <w:r>
        <w:rPr>
          <w:rFonts w:ascii="Garamond" w:hAnsi="Garamond"/>
          <w:bCs/>
        </w:rPr>
        <w:t>)</w:t>
      </w:r>
      <w:r w:rsidRPr="00311A8C">
        <w:rPr>
          <w:rFonts w:ascii="Garamond" w:hAnsi="Garamond"/>
          <w:bCs/>
        </w:rPr>
        <w:t xml:space="preserve">. The 95% confidence interval associated with this mean difference was obtained with 5,000 bootstrap resamples and </w:t>
      </w:r>
      <w:r>
        <w:rPr>
          <w:rFonts w:ascii="Garamond" w:hAnsi="Garamond"/>
          <w:bCs/>
        </w:rPr>
        <w:t>did not include zero</w:t>
      </w:r>
      <w:r w:rsidRPr="00311A8C">
        <w:rPr>
          <w:rFonts w:ascii="Garamond" w:hAnsi="Garamond"/>
          <w:bCs/>
        </w:rPr>
        <w:t xml:space="preserve"> (</w:t>
      </w:r>
      <w:proofErr w:type="spellStart"/>
      <w:r>
        <w:rPr>
          <w:rFonts w:ascii="Garamond" w:hAnsi="Garamond"/>
          <w:bCs/>
        </w:rPr>
        <w:t>M</w:t>
      </w:r>
      <w:r w:rsidRPr="00D5247E">
        <w:rPr>
          <w:rFonts w:ascii="Garamond" w:hAnsi="Garamond"/>
          <w:bCs/>
          <w:vertAlign w:val="subscript"/>
        </w:rPr>
        <w:t>diff</w:t>
      </w:r>
      <w:proofErr w:type="spellEnd"/>
      <w:r w:rsidRPr="00311A8C">
        <w:rPr>
          <w:rFonts w:ascii="Garamond" w:hAnsi="Garamond"/>
          <w:bCs/>
        </w:rPr>
        <w:t xml:space="preserve"> = </w:t>
      </w:r>
      <w:r w:rsidR="0063364A">
        <w:rPr>
          <w:rFonts w:ascii="Garamond" w:hAnsi="Garamond"/>
          <w:bCs/>
        </w:rPr>
        <w:t>0.67</w:t>
      </w:r>
      <w:r w:rsidRPr="00311A8C">
        <w:rPr>
          <w:rFonts w:ascii="Garamond" w:hAnsi="Garamond"/>
          <w:bCs/>
        </w:rPr>
        <w:t xml:space="preserve">, 95% CI = </w:t>
      </w:r>
      <w:r w:rsidR="00C53DA0" w:rsidRPr="00C53DA0">
        <w:rPr>
          <w:rFonts w:ascii="Garamond" w:hAnsi="Garamond"/>
          <w:bCs/>
          <w:lang w:val="en-GB"/>
        </w:rPr>
        <w:t>-1.0</w:t>
      </w:r>
      <w:r w:rsidR="00C53DA0">
        <w:rPr>
          <w:rFonts w:ascii="Garamond" w:hAnsi="Garamond"/>
          <w:bCs/>
          <w:lang w:val="en-GB"/>
        </w:rPr>
        <w:t>1</w:t>
      </w:r>
      <w:r w:rsidRPr="00311A8C">
        <w:rPr>
          <w:rFonts w:ascii="Garamond" w:hAnsi="Garamond"/>
          <w:bCs/>
        </w:rPr>
        <w:t xml:space="preserve">, </w:t>
      </w:r>
      <w:r w:rsidR="00C53DA0">
        <w:rPr>
          <w:rFonts w:ascii="Garamond" w:hAnsi="Garamond"/>
          <w:bCs/>
        </w:rPr>
        <w:t>-0.32</w:t>
      </w:r>
      <w:r w:rsidRPr="00311A8C">
        <w:rPr>
          <w:rFonts w:ascii="Garamond" w:hAnsi="Garamond"/>
          <w:bCs/>
        </w:rPr>
        <w:t xml:space="preserve">). As such, the difference in </w:t>
      </w:r>
      <w:r>
        <w:rPr>
          <w:rFonts w:ascii="Garamond" w:hAnsi="Garamond"/>
          <w:bCs/>
        </w:rPr>
        <w:t xml:space="preserve">mean </w:t>
      </w:r>
      <w:r w:rsidR="00C53DA0">
        <w:rPr>
          <w:rFonts w:ascii="Garamond" w:hAnsi="Garamond"/>
          <w:bCs/>
        </w:rPr>
        <w:t xml:space="preserve">score </w:t>
      </w:r>
      <w:r w:rsidRPr="00311A8C">
        <w:rPr>
          <w:rFonts w:ascii="Garamond" w:hAnsi="Garamond"/>
          <w:bCs/>
        </w:rPr>
        <w:t xml:space="preserve">between </w:t>
      </w:r>
      <w:r>
        <w:rPr>
          <w:rFonts w:ascii="Garamond" w:hAnsi="Garamond"/>
          <w:bCs/>
        </w:rPr>
        <w:t xml:space="preserve">those in the </w:t>
      </w:r>
      <w:r w:rsidR="00C53DA0">
        <w:rPr>
          <w:rFonts w:ascii="Garamond" w:hAnsi="Garamond"/>
          <w:bCs/>
        </w:rPr>
        <w:t xml:space="preserve">native group </w:t>
      </w:r>
      <w:r>
        <w:rPr>
          <w:rFonts w:ascii="Garamond" w:hAnsi="Garamond"/>
          <w:bCs/>
        </w:rPr>
        <w:t xml:space="preserve">versus those in the </w:t>
      </w:r>
      <w:r w:rsidR="00C53DA0">
        <w:rPr>
          <w:rFonts w:ascii="Garamond" w:hAnsi="Garamond"/>
          <w:bCs/>
        </w:rPr>
        <w:t>3-7 group</w:t>
      </w:r>
      <w:r w:rsidRPr="00311A8C">
        <w:rPr>
          <w:rFonts w:ascii="Garamond" w:hAnsi="Garamond"/>
          <w:bCs/>
        </w:rPr>
        <w:t xml:space="preserve"> is statistically significant.</w:t>
      </w:r>
    </w:p>
    <w:p w14:paraId="0DB78172" w14:textId="53EDB2B4" w:rsidR="00980491" w:rsidRDefault="00980491" w:rsidP="00980491">
      <w:pPr>
        <w:rPr>
          <w:rFonts w:ascii="Garamond" w:hAnsi="Garamond"/>
          <w:bCs/>
        </w:rPr>
      </w:pPr>
    </w:p>
    <w:p w14:paraId="6544885A" w14:textId="7AB5D940" w:rsidR="008D79C1" w:rsidRPr="00C53DA0" w:rsidRDefault="00980491" w:rsidP="008D79C1">
      <w:pPr>
        <w:rPr>
          <w:rFonts w:ascii="Garamond" w:hAnsi="Garamond"/>
          <w:bCs/>
          <w:lang w:val="en-FR"/>
        </w:rPr>
      </w:pPr>
      <w:r>
        <w:rPr>
          <w:rFonts w:ascii="Garamond" w:hAnsi="Garamond"/>
          <w:bCs/>
        </w:rPr>
        <w:t>P</w:t>
      </w:r>
      <w:r w:rsidRPr="00311A8C">
        <w:rPr>
          <w:rFonts w:ascii="Garamond" w:hAnsi="Garamond"/>
          <w:bCs/>
        </w:rPr>
        <w:t xml:space="preserve">articipants in the </w:t>
      </w:r>
      <w:r w:rsidR="00C53DA0">
        <w:rPr>
          <w:rFonts w:ascii="Garamond" w:hAnsi="Garamond"/>
          <w:bCs/>
        </w:rPr>
        <w:t>3-7</w:t>
      </w:r>
      <w:r>
        <w:rPr>
          <w:rFonts w:ascii="Garamond" w:hAnsi="Garamond"/>
          <w:bCs/>
        </w:rPr>
        <w:t xml:space="preserve"> group </w:t>
      </w:r>
      <w:r w:rsidRPr="00311A8C">
        <w:rPr>
          <w:rFonts w:ascii="Garamond" w:hAnsi="Garamond"/>
          <w:bCs/>
        </w:rPr>
        <w:t xml:space="preserve">obtained </w:t>
      </w:r>
      <w:r>
        <w:rPr>
          <w:rFonts w:ascii="Garamond" w:hAnsi="Garamond"/>
          <w:bCs/>
        </w:rPr>
        <w:t xml:space="preserve">a </w:t>
      </w:r>
      <w:r w:rsidR="00C53DA0">
        <w:rPr>
          <w:rFonts w:ascii="Garamond" w:hAnsi="Garamond"/>
          <w:bCs/>
        </w:rPr>
        <w:t>higher</w:t>
      </w:r>
      <w:r>
        <w:rPr>
          <w:rFonts w:ascii="Garamond" w:hAnsi="Garamond"/>
          <w:bCs/>
        </w:rPr>
        <w:t xml:space="preserve"> score </w:t>
      </w:r>
      <w:r w:rsidRPr="00311A8C">
        <w:rPr>
          <w:rFonts w:ascii="Garamond" w:hAnsi="Garamond"/>
          <w:bCs/>
        </w:rPr>
        <w:t>(</w:t>
      </w:r>
      <w:r w:rsidR="00FF53C9" w:rsidRPr="00311A8C">
        <w:rPr>
          <w:rFonts w:ascii="Garamond" w:hAnsi="Garamond"/>
          <w:bCs/>
        </w:rPr>
        <w:t xml:space="preserve">M </w:t>
      </w:r>
      <w:r w:rsidR="00FF53C9">
        <w:rPr>
          <w:rFonts w:ascii="Garamond" w:hAnsi="Garamond"/>
          <w:bCs/>
        </w:rPr>
        <w:t>=</w:t>
      </w:r>
      <w:r w:rsidR="00FF53C9" w:rsidRPr="00311A8C">
        <w:rPr>
          <w:rFonts w:ascii="Garamond" w:hAnsi="Garamond"/>
          <w:bCs/>
        </w:rPr>
        <w:t xml:space="preserve"> </w:t>
      </w:r>
      <w:r w:rsidR="00FF53C9">
        <w:rPr>
          <w:rFonts w:ascii="Garamond" w:hAnsi="Garamond"/>
          <w:bCs/>
        </w:rPr>
        <w:t>269.31</w:t>
      </w:r>
      <w:r w:rsidR="00FF53C9" w:rsidRPr="00311A8C">
        <w:rPr>
          <w:rFonts w:ascii="Garamond" w:hAnsi="Garamond"/>
          <w:bCs/>
        </w:rPr>
        <w:t xml:space="preserve">, SD </w:t>
      </w:r>
      <w:r w:rsidR="00FF53C9">
        <w:rPr>
          <w:rFonts w:ascii="Garamond" w:hAnsi="Garamond"/>
          <w:bCs/>
        </w:rPr>
        <w:t>=</w:t>
      </w:r>
      <w:r w:rsidR="00FF53C9" w:rsidRPr="00311A8C">
        <w:rPr>
          <w:rFonts w:ascii="Garamond" w:hAnsi="Garamond"/>
          <w:bCs/>
        </w:rPr>
        <w:t xml:space="preserve"> </w:t>
      </w:r>
      <w:r w:rsidR="00FF53C9">
        <w:rPr>
          <w:rFonts w:ascii="Garamond" w:hAnsi="Garamond"/>
          <w:bCs/>
        </w:rPr>
        <w:t>2.86</w:t>
      </w:r>
      <w:r w:rsidRPr="00311A8C">
        <w:rPr>
          <w:rFonts w:ascii="Garamond" w:hAnsi="Garamond"/>
          <w:bCs/>
        </w:rPr>
        <w:t>)</w:t>
      </w:r>
      <w:r>
        <w:rPr>
          <w:rFonts w:ascii="Garamond" w:hAnsi="Garamond"/>
          <w:bCs/>
        </w:rPr>
        <w:t xml:space="preserve"> </w:t>
      </w:r>
      <w:r w:rsidRPr="00311A8C">
        <w:rPr>
          <w:rFonts w:ascii="Garamond" w:hAnsi="Garamond"/>
          <w:bCs/>
        </w:rPr>
        <w:t>than did those in the</w:t>
      </w:r>
      <w:r>
        <w:rPr>
          <w:rFonts w:ascii="Garamond" w:hAnsi="Garamond"/>
          <w:bCs/>
        </w:rPr>
        <w:t xml:space="preserve"> </w:t>
      </w:r>
      <w:r w:rsidR="00FF53C9">
        <w:rPr>
          <w:rFonts w:ascii="Garamond" w:hAnsi="Garamond"/>
          <w:bCs/>
        </w:rPr>
        <w:t>8-10</w:t>
      </w:r>
      <w:r>
        <w:rPr>
          <w:rFonts w:ascii="Garamond" w:hAnsi="Garamond"/>
          <w:bCs/>
        </w:rPr>
        <w:t xml:space="preserve"> group </w:t>
      </w:r>
      <w:r w:rsidRPr="00311A8C">
        <w:rPr>
          <w:rFonts w:ascii="Garamond" w:hAnsi="Garamond"/>
          <w:bCs/>
        </w:rPr>
        <w:t xml:space="preserve">(M </w:t>
      </w:r>
      <w:r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FF53C9">
        <w:rPr>
          <w:rFonts w:ascii="Garamond" w:hAnsi="Garamond"/>
          <w:bCs/>
        </w:rPr>
        <w:t>256.51</w:t>
      </w:r>
      <w:r w:rsidRPr="00311A8C">
        <w:rPr>
          <w:rFonts w:ascii="Garamond" w:hAnsi="Garamond"/>
          <w:bCs/>
        </w:rPr>
        <w:t xml:space="preserve">, SD </w:t>
      </w:r>
      <w:r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FF53C9">
        <w:rPr>
          <w:rFonts w:ascii="Garamond" w:hAnsi="Garamond"/>
          <w:bCs/>
        </w:rPr>
        <w:t>6</w:t>
      </w:r>
      <w:r w:rsidRPr="00311A8C">
        <w:rPr>
          <w:rFonts w:ascii="Garamond" w:hAnsi="Garamond"/>
          <w:bCs/>
        </w:rPr>
        <w:t>),</w:t>
      </w:r>
      <w:r>
        <w:rPr>
          <w:rFonts w:ascii="Garamond" w:hAnsi="Garamond"/>
          <w:bCs/>
        </w:rPr>
        <w:t xml:space="preserve"> </w:t>
      </w:r>
      <w:proofErr w:type="gramStart"/>
      <w:r w:rsidRPr="007A6962">
        <w:rPr>
          <w:rFonts w:ascii="Garamond" w:hAnsi="Garamond"/>
          <w:bCs/>
          <w:i/>
          <w:iCs/>
        </w:rPr>
        <w:t>t</w:t>
      </w:r>
      <w:r w:rsidRPr="00311A8C">
        <w:rPr>
          <w:rFonts w:ascii="Garamond" w:hAnsi="Garamond"/>
          <w:bCs/>
        </w:rPr>
        <w:t>(</w:t>
      </w:r>
      <w:proofErr w:type="gramEnd"/>
      <w:r w:rsidR="008D79C1">
        <w:rPr>
          <w:rFonts w:ascii="Garamond" w:hAnsi="Garamond"/>
          <w:bCs/>
        </w:rPr>
        <w:t>778.83</w:t>
      </w:r>
      <w:r w:rsidRPr="00311A8C">
        <w:rPr>
          <w:rFonts w:ascii="Garamond" w:hAnsi="Garamond"/>
          <w:bCs/>
        </w:rPr>
        <w:t xml:space="preserve">) </w:t>
      </w:r>
      <w:r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8D79C1">
        <w:rPr>
          <w:rFonts w:ascii="Garamond" w:hAnsi="Garamond"/>
          <w:bCs/>
        </w:rPr>
        <w:t>-44.937</w:t>
      </w:r>
      <w:r w:rsidRPr="00311A8C">
        <w:rPr>
          <w:rFonts w:ascii="Garamond" w:hAnsi="Garamond"/>
          <w:bCs/>
        </w:rPr>
        <w:t xml:space="preserve">, p </w:t>
      </w:r>
      <w:r>
        <w:rPr>
          <w:rFonts w:ascii="Garamond" w:hAnsi="Garamond"/>
          <w:bCs/>
        </w:rPr>
        <w:t>&lt; .001</w:t>
      </w:r>
      <w:r w:rsidRPr="00311A8C">
        <w:rPr>
          <w:rFonts w:ascii="Garamond" w:hAnsi="Garamond"/>
          <w:bCs/>
        </w:rPr>
        <w:t xml:space="preserve">, d </w:t>
      </w:r>
      <w:r>
        <w:rPr>
          <w:rFonts w:ascii="Garamond" w:hAnsi="Garamond"/>
          <w:bCs/>
        </w:rPr>
        <w:t>=</w:t>
      </w:r>
      <w:r w:rsidR="008D79C1">
        <w:rPr>
          <w:rFonts w:ascii="Garamond" w:hAnsi="Garamond"/>
          <w:bCs/>
        </w:rPr>
        <w:t xml:space="preserve"> -2.72</w:t>
      </w:r>
      <w:r>
        <w:rPr>
          <w:rFonts w:ascii="Garamond" w:hAnsi="Garamond"/>
          <w:bCs/>
        </w:rPr>
        <w:t>.</w:t>
      </w:r>
      <w:r w:rsidRPr="00311A8C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T</w:t>
      </w:r>
      <w:r w:rsidRPr="00311A8C">
        <w:rPr>
          <w:rFonts w:ascii="Garamond" w:hAnsi="Garamond"/>
          <w:bCs/>
        </w:rPr>
        <w:t xml:space="preserve">here was a mean difference in </w:t>
      </w:r>
      <w:r>
        <w:rPr>
          <w:rFonts w:ascii="Garamond" w:hAnsi="Garamond"/>
          <w:bCs/>
        </w:rPr>
        <w:t>number of heads called</w:t>
      </w:r>
      <w:r w:rsidRPr="00311A8C">
        <w:rPr>
          <w:rFonts w:ascii="Garamond" w:hAnsi="Garamond"/>
          <w:bCs/>
        </w:rPr>
        <w:t xml:space="preserve"> between the groups of </w:t>
      </w:r>
      <w:r>
        <w:rPr>
          <w:rFonts w:ascii="Garamond" w:hAnsi="Garamond"/>
          <w:bCs/>
        </w:rPr>
        <w:t>1</w:t>
      </w:r>
      <w:r w:rsidR="00FF53C9">
        <w:rPr>
          <w:rFonts w:ascii="Garamond" w:hAnsi="Garamond"/>
          <w:bCs/>
        </w:rPr>
        <w:t>2.8</w:t>
      </w:r>
      <w:r>
        <w:rPr>
          <w:rFonts w:ascii="Garamond" w:hAnsi="Garamond"/>
          <w:bCs/>
        </w:rPr>
        <w:t xml:space="preserve"> (see Figure </w:t>
      </w:r>
      <w:r w:rsidR="004D13C9">
        <w:rPr>
          <w:rFonts w:ascii="Garamond" w:hAnsi="Garamond"/>
          <w:bCs/>
        </w:rPr>
        <w:t>3</w:t>
      </w:r>
      <w:r>
        <w:rPr>
          <w:rFonts w:ascii="Garamond" w:hAnsi="Garamond"/>
          <w:bCs/>
        </w:rPr>
        <w:t>)</w:t>
      </w:r>
      <w:r w:rsidRPr="00311A8C">
        <w:rPr>
          <w:rFonts w:ascii="Garamond" w:hAnsi="Garamond"/>
          <w:bCs/>
        </w:rPr>
        <w:t xml:space="preserve">. The 95% confidence interval associated with this mean difference was obtained with 5,000 bootstrap resamples and </w:t>
      </w:r>
      <w:r>
        <w:rPr>
          <w:rFonts w:ascii="Garamond" w:hAnsi="Garamond"/>
          <w:bCs/>
        </w:rPr>
        <w:t>did not include zero</w:t>
      </w:r>
      <w:r w:rsidRPr="00311A8C">
        <w:rPr>
          <w:rFonts w:ascii="Garamond" w:hAnsi="Garamond"/>
          <w:bCs/>
        </w:rPr>
        <w:t xml:space="preserve"> (</w:t>
      </w:r>
      <w:proofErr w:type="spellStart"/>
      <w:r>
        <w:rPr>
          <w:rFonts w:ascii="Garamond" w:hAnsi="Garamond"/>
          <w:bCs/>
        </w:rPr>
        <w:t>M</w:t>
      </w:r>
      <w:r w:rsidRPr="00D5247E">
        <w:rPr>
          <w:rFonts w:ascii="Garamond" w:hAnsi="Garamond"/>
          <w:bCs/>
          <w:vertAlign w:val="subscript"/>
        </w:rPr>
        <w:t>diff</w:t>
      </w:r>
      <w:proofErr w:type="spellEnd"/>
      <w:r w:rsidRPr="00311A8C">
        <w:rPr>
          <w:rFonts w:ascii="Garamond" w:hAnsi="Garamond"/>
          <w:bCs/>
        </w:rPr>
        <w:t xml:space="preserve"> = </w:t>
      </w:r>
      <w:r>
        <w:rPr>
          <w:rFonts w:ascii="Garamond" w:hAnsi="Garamond"/>
          <w:bCs/>
        </w:rPr>
        <w:t>1</w:t>
      </w:r>
      <w:r w:rsidR="008D79C1">
        <w:rPr>
          <w:rFonts w:ascii="Garamond" w:hAnsi="Garamond"/>
          <w:bCs/>
        </w:rPr>
        <w:t>2.8</w:t>
      </w:r>
      <w:r w:rsidRPr="00311A8C">
        <w:rPr>
          <w:rFonts w:ascii="Garamond" w:hAnsi="Garamond"/>
          <w:bCs/>
        </w:rPr>
        <w:t xml:space="preserve">, 95% CI = </w:t>
      </w:r>
      <w:r w:rsidR="008D79C1">
        <w:rPr>
          <w:rFonts w:ascii="Garamond" w:hAnsi="Garamond"/>
          <w:bCs/>
        </w:rPr>
        <w:t>-13.35</w:t>
      </w:r>
      <w:r w:rsidRPr="00311A8C">
        <w:rPr>
          <w:rFonts w:ascii="Garamond" w:hAnsi="Garamond"/>
          <w:bCs/>
        </w:rPr>
        <w:t xml:space="preserve">, </w:t>
      </w:r>
      <w:r w:rsidR="008D79C1">
        <w:rPr>
          <w:rFonts w:ascii="Garamond" w:hAnsi="Garamond"/>
          <w:bCs/>
        </w:rPr>
        <w:t>-12.235</w:t>
      </w:r>
      <w:r w:rsidRPr="00311A8C">
        <w:rPr>
          <w:rFonts w:ascii="Garamond" w:hAnsi="Garamond"/>
          <w:bCs/>
        </w:rPr>
        <w:t xml:space="preserve">). </w:t>
      </w:r>
      <w:r w:rsidR="008D79C1" w:rsidRPr="00311A8C">
        <w:rPr>
          <w:rFonts w:ascii="Garamond" w:hAnsi="Garamond"/>
          <w:bCs/>
        </w:rPr>
        <w:t xml:space="preserve">As such, the difference in </w:t>
      </w:r>
      <w:r w:rsidR="008D79C1">
        <w:rPr>
          <w:rFonts w:ascii="Garamond" w:hAnsi="Garamond"/>
          <w:bCs/>
        </w:rPr>
        <w:t xml:space="preserve">mean score </w:t>
      </w:r>
      <w:r w:rsidR="008D79C1" w:rsidRPr="00311A8C">
        <w:rPr>
          <w:rFonts w:ascii="Garamond" w:hAnsi="Garamond"/>
          <w:bCs/>
        </w:rPr>
        <w:t xml:space="preserve">between </w:t>
      </w:r>
      <w:r w:rsidR="008D79C1">
        <w:rPr>
          <w:rFonts w:ascii="Garamond" w:hAnsi="Garamond"/>
          <w:bCs/>
        </w:rPr>
        <w:t xml:space="preserve">those in the </w:t>
      </w:r>
      <w:r w:rsidR="008D79C1">
        <w:rPr>
          <w:rFonts w:ascii="Garamond" w:hAnsi="Garamond"/>
          <w:bCs/>
        </w:rPr>
        <w:t>3-7</w:t>
      </w:r>
      <w:r w:rsidR="008D79C1">
        <w:rPr>
          <w:rFonts w:ascii="Garamond" w:hAnsi="Garamond"/>
          <w:bCs/>
        </w:rPr>
        <w:t xml:space="preserve"> group versus those in the </w:t>
      </w:r>
      <w:r w:rsidR="008D79C1">
        <w:rPr>
          <w:rFonts w:ascii="Garamond" w:hAnsi="Garamond"/>
          <w:bCs/>
        </w:rPr>
        <w:t>8-10</w:t>
      </w:r>
      <w:r w:rsidR="008D79C1">
        <w:rPr>
          <w:rFonts w:ascii="Garamond" w:hAnsi="Garamond"/>
          <w:bCs/>
        </w:rPr>
        <w:t xml:space="preserve"> group</w:t>
      </w:r>
      <w:r w:rsidR="008D79C1" w:rsidRPr="00311A8C">
        <w:rPr>
          <w:rFonts w:ascii="Garamond" w:hAnsi="Garamond"/>
          <w:bCs/>
        </w:rPr>
        <w:t xml:space="preserve"> is statistically significant.</w:t>
      </w:r>
    </w:p>
    <w:p w14:paraId="60ED7762" w14:textId="112FC488" w:rsidR="00980491" w:rsidRDefault="00980491" w:rsidP="00980491">
      <w:pPr>
        <w:rPr>
          <w:rFonts w:ascii="Garamond" w:hAnsi="Garamond"/>
          <w:bCs/>
        </w:rPr>
      </w:pPr>
    </w:p>
    <w:p w14:paraId="5F3462B1" w14:textId="59E837E0" w:rsidR="008D79C1" w:rsidRPr="00C53DA0" w:rsidRDefault="00980491" w:rsidP="008D79C1">
      <w:pPr>
        <w:rPr>
          <w:rFonts w:ascii="Garamond" w:hAnsi="Garamond"/>
          <w:bCs/>
          <w:lang w:val="en-FR"/>
        </w:rPr>
      </w:pPr>
      <w:r>
        <w:rPr>
          <w:rFonts w:ascii="Garamond" w:hAnsi="Garamond"/>
          <w:bCs/>
        </w:rPr>
        <w:t>P</w:t>
      </w:r>
      <w:r w:rsidRPr="00311A8C">
        <w:rPr>
          <w:rFonts w:ascii="Garamond" w:hAnsi="Garamond"/>
          <w:bCs/>
        </w:rPr>
        <w:t xml:space="preserve">articipants in the </w:t>
      </w:r>
      <w:r w:rsidR="008D79C1">
        <w:rPr>
          <w:rFonts w:ascii="Garamond" w:hAnsi="Garamond"/>
          <w:bCs/>
        </w:rPr>
        <w:t>8-10</w:t>
      </w:r>
      <w:r>
        <w:rPr>
          <w:rFonts w:ascii="Garamond" w:hAnsi="Garamond"/>
          <w:bCs/>
        </w:rPr>
        <w:t xml:space="preserve"> group </w:t>
      </w:r>
      <w:r w:rsidRPr="00311A8C">
        <w:rPr>
          <w:rFonts w:ascii="Garamond" w:hAnsi="Garamond"/>
          <w:bCs/>
        </w:rPr>
        <w:t xml:space="preserve">obtained </w:t>
      </w:r>
      <w:r>
        <w:rPr>
          <w:rFonts w:ascii="Garamond" w:hAnsi="Garamond"/>
          <w:bCs/>
        </w:rPr>
        <w:t xml:space="preserve">a </w:t>
      </w:r>
      <w:r w:rsidR="00C53DA0">
        <w:rPr>
          <w:rFonts w:ascii="Garamond" w:hAnsi="Garamond"/>
          <w:bCs/>
        </w:rPr>
        <w:t>higher</w:t>
      </w:r>
      <w:r>
        <w:rPr>
          <w:rFonts w:ascii="Garamond" w:hAnsi="Garamond"/>
          <w:bCs/>
        </w:rPr>
        <w:t xml:space="preserve"> score </w:t>
      </w:r>
      <w:r w:rsidRPr="00311A8C">
        <w:rPr>
          <w:rFonts w:ascii="Garamond" w:hAnsi="Garamond"/>
          <w:bCs/>
        </w:rPr>
        <w:t>(M</w:t>
      </w:r>
      <w:r>
        <w:rPr>
          <w:rFonts w:ascii="Garamond" w:hAnsi="Garamond"/>
          <w:bCs/>
        </w:rPr>
        <w:t xml:space="preserve"> =</w:t>
      </w:r>
      <w:r w:rsidRPr="00311A8C">
        <w:rPr>
          <w:rFonts w:ascii="Garamond" w:hAnsi="Garamond"/>
          <w:bCs/>
        </w:rPr>
        <w:t xml:space="preserve"> </w:t>
      </w:r>
      <w:r w:rsidR="008D79C1">
        <w:rPr>
          <w:rFonts w:ascii="Garamond" w:hAnsi="Garamond"/>
          <w:bCs/>
        </w:rPr>
        <w:t>256.51</w:t>
      </w:r>
      <w:r w:rsidRPr="00311A8C">
        <w:rPr>
          <w:rFonts w:ascii="Garamond" w:hAnsi="Garamond"/>
          <w:bCs/>
        </w:rPr>
        <w:t xml:space="preserve">, SD </w:t>
      </w:r>
      <w:r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8D79C1">
        <w:rPr>
          <w:rFonts w:ascii="Garamond" w:hAnsi="Garamond"/>
          <w:bCs/>
        </w:rPr>
        <w:t>6</w:t>
      </w:r>
      <w:r w:rsidRPr="00311A8C">
        <w:rPr>
          <w:rFonts w:ascii="Garamond" w:hAnsi="Garamond"/>
          <w:bCs/>
        </w:rPr>
        <w:t>)</w:t>
      </w:r>
      <w:r>
        <w:rPr>
          <w:rFonts w:ascii="Garamond" w:hAnsi="Garamond"/>
          <w:bCs/>
        </w:rPr>
        <w:t xml:space="preserve"> </w:t>
      </w:r>
      <w:r w:rsidRPr="00311A8C">
        <w:rPr>
          <w:rFonts w:ascii="Garamond" w:hAnsi="Garamond"/>
          <w:bCs/>
        </w:rPr>
        <w:t>than did those in the</w:t>
      </w:r>
      <w:r>
        <w:rPr>
          <w:rFonts w:ascii="Garamond" w:hAnsi="Garamond"/>
          <w:bCs/>
        </w:rPr>
        <w:t xml:space="preserve"> </w:t>
      </w:r>
      <w:r w:rsidR="008D79C1">
        <w:rPr>
          <w:rFonts w:ascii="Garamond" w:hAnsi="Garamond"/>
          <w:bCs/>
        </w:rPr>
        <w:t>11-15</w:t>
      </w:r>
      <w:r>
        <w:rPr>
          <w:rFonts w:ascii="Garamond" w:hAnsi="Garamond"/>
          <w:bCs/>
        </w:rPr>
        <w:t xml:space="preserve"> group </w:t>
      </w:r>
      <w:r w:rsidRPr="00311A8C">
        <w:rPr>
          <w:rFonts w:ascii="Garamond" w:hAnsi="Garamond"/>
          <w:bCs/>
        </w:rPr>
        <w:t xml:space="preserve">(M </w:t>
      </w:r>
      <w:r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8D79C1">
        <w:rPr>
          <w:rFonts w:ascii="Garamond" w:hAnsi="Garamond"/>
          <w:bCs/>
        </w:rPr>
        <w:t>235.67</w:t>
      </w:r>
      <w:r w:rsidRPr="00311A8C">
        <w:rPr>
          <w:rFonts w:ascii="Garamond" w:hAnsi="Garamond"/>
          <w:bCs/>
        </w:rPr>
        <w:t xml:space="preserve">, SD </w:t>
      </w:r>
      <w:r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1</w:t>
      </w:r>
      <w:r w:rsidR="008D79C1">
        <w:rPr>
          <w:rFonts w:ascii="Garamond" w:hAnsi="Garamond"/>
          <w:bCs/>
        </w:rPr>
        <w:t>3.08</w:t>
      </w:r>
      <w:r w:rsidRPr="00311A8C">
        <w:rPr>
          <w:rFonts w:ascii="Garamond" w:hAnsi="Garamond"/>
          <w:bCs/>
        </w:rPr>
        <w:t>),</w:t>
      </w:r>
      <w:r>
        <w:rPr>
          <w:rFonts w:ascii="Garamond" w:hAnsi="Garamond"/>
          <w:bCs/>
        </w:rPr>
        <w:t xml:space="preserve"> </w:t>
      </w:r>
      <w:proofErr w:type="gramStart"/>
      <w:r w:rsidRPr="007A6962">
        <w:rPr>
          <w:rFonts w:ascii="Garamond" w:hAnsi="Garamond"/>
          <w:bCs/>
          <w:i/>
          <w:iCs/>
        </w:rPr>
        <w:t>t</w:t>
      </w:r>
      <w:r w:rsidRPr="00311A8C">
        <w:rPr>
          <w:rFonts w:ascii="Garamond" w:hAnsi="Garamond"/>
          <w:bCs/>
        </w:rPr>
        <w:t>(</w:t>
      </w:r>
      <w:proofErr w:type="gramEnd"/>
      <w:r w:rsidR="008D79C1">
        <w:rPr>
          <w:rFonts w:ascii="Garamond" w:hAnsi="Garamond"/>
          <w:bCs/>
        </w:rPr>
        <w:t>763.28</w:t>
      </w:r>
      <w:r w:rsidRPr="00311A8C">
        <w:rPr>
          <w:rFonts w:ascii="Garamond" w:hAnsi="Garamond"/>
          <w:bCs/>
        </w:rPr>
        <w:t xml:space="preserve">) </w:t>
      </w:r>
      <w:r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8D79C1">
        <w:rPr>
          <w:rFonts w:ascii="Garamond" w:hAnsi="Garamond"/>
          <w:bCs/>
        </w:rPr>
        <w:t>33.811</w:t>
      </w:r>
      <w:r w:rsidRPr="00311A8C">
        <w:rPr>
          <w:rFonts w:ascii="Garamond" w:hAnsi="Garamond"/>
          <w:bCs/>
        </w:rPr>
        <w:t xml:space="preserve">, p </w:t>
      </w:r>
      <w:r>
        <w:rPr>
          <w:rFonts w:ascii="Garamond" w:hAnsi="Garamond"/>
          <w:bCs/>
        </w:rPr>
        <w:t>&lt; .001</w:t>
      </w:r>
      <w:r w:rsidRPr="00311A8C">
        <w:rPr>
          <w:rFonts w:ascii="Garamond" w:hAnsi="Garamond"/>
          <w:bCs/>
        </w:rPr>
        <w:t xml:space="preserve">, d </w:t>
      </w:r>
      <w:r>
        <w:rPr>
          <w:rFonts w:ascii="Garamond" w:hAnsi="Garamond"/>
          <w:bCs/>
        </w:rPr>
        <w:t xml:space="preserve">= </w:t>
      </w:r>
      <w:r w:rsidR="008D79C1">
        <w:rPr>
          <w:rFonts w:ascii="Garamond" w:hAnsi="Garamond"/>
          <w:bCs/>
        </w:rPr>
        <w:t>2.048</w:t>
      </w:r>
      <w:r>
        <w:rPr>
          <w:rFonts w:ascii="Garamond" w:hAnsi="Garamond"/>
          <w:bCs/>
        </w:rPr>
        <w:t>.</w:t>
      </w:r>
      <w:r w:rsidRPr="00311A8C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T</w:t>
      </w:r>
      <w:r w:rsidRPr="00311A8C">
        <w:rPr>
          <w:rFonts w:ascii="Garamond" w:hAnsi="Garamond"/>
          <w:bCs/>
        </w:rPr>
        <w:t xml:space="preserve">here was a mean difference in </w:t>
      </w:r>
      <w:r>
        <w:rPr>
          <w:rFonts w:ascii="Garamond" w:hAnsi="Garamond"/>
          <w:bCs/>
        </w:rPr>
        <w:t>number of heads called</w:t>
      </w:r>
      <w:r w:rsidRPr="00311A8C">
        <w:rPr>
          <w:rFonts w:ascii="Garamond" w:hAnsi="Garamond"/>
          <w:bCs/>
        </w:rPr>
        <w:t xml:space="preserve"> between the groups of </w:t>
      </w:r>
      <w:r w:rsidR="008D79C1">
        <w:rPr>
          <w:rFonts w:ascii="Garamond" w:hAnsi="Garamond"/>
          <w:bCs/>
        </w:rPr>
        <w:t>22.84</w:t>
      </w:r>
      <w:r w:rsidRPr="00311A8C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 xml:space="preserve">(see Figure </w:t>
      </w:r>
      <w:r w:rsidR="004D13C9">
        <w:rPr>
          <w:rFonts w:ascii="Garamond" w:hAnsi="Garamond"/>
          <w:bCs/>
        </w:rPr>
        <w:t>4</w:t>
      </w:r>
      <w:r>
        <w:rPr>
          <w:rFonts w:ascii="Garamond" w:hAnsi="Garamond"/>
          <w:bCs/>
        </w:rPr>
        <w:t>)</w:t>
      </w:r>
      <w:r w:rsidRPr="00311A8C">
        <w:rPr>
          <w:rFonts w:ascii="Garamond" w:hAnsi="Garamond"/>
          <w:bCs/>
        </w:rPr>
        <w:t xml:space="preserve">. The 95% confidence interval associated with this mean difference was obtained with 5,000 bootstrap resamples and </w:t>
      </w:r>
      <w:r>
        <w:rPr>
          <w:rFonts w:ascii="Garamond" w:hAnsi="Garamond"/>
          <w:bCs/>
        </w:rPr>
        <w:t>did not include zero</w:t>
      </w:r>
      <w:r w:rsidRPr="00311A8C">
        <w:rPr>
          <w:rFonts w:ascii="Garamond" w:hAnsi="Garamond"/>
          <w:bCs/>
        </w:rPr>
        <w:t xml:space="preserve"> (</w:t>
      </w:r>
      <w:proofErr w:type="spellStart"/>
      <w:r>
        <w:rPr>
          <w:rFonts w:ascii="Garamond" w:hAnsi="Garamond"/>
          <w:bCs/>
        </w:rPr>
        <w:t>M</w:t>
      </w:r>
      <w:r w:rsidRPr="00D5247E">
        <w:rPr>
          <w:rFonts w:ascii="Garamond" w:hAnsi="Garamond"/>
          <w:bCs/>
          <w:vertAlign w:val="subscript"/>
        </w:rPr>
        <w:t>diff</w:t>
      </w:r>
      <w:proofErr w:type="spellEnd"/>
      <w:r w:rsidRPr="00311A8C">
        <w:rPr>
          <w:rFonts w:ascii="Garamond" w:hAnsi="Garamond"/>
          <w:bCs/>
        </w:rPr>
        <w:t xml:space="preserve"> = </w:t>
      </w:r>
      <w:r w:rsidR="008D79C1">
        <w:rPr>
          <w:rFonts w:ascii="Garamond" w:hAnsi="Garamond"/>
          <w:bCs/>
        </w:rPr>
        <w:t>22.84</w:t>
      </w:r>
      <w:r w:rsidRPr="00311A8C">
        <w:rPr>
          <w:rFonts w:ascii="Garamond" w:hAnsi="Garamond"/>
          <w:bCs/>
        </w:rPr>
        <w:t xml:space="preserve">, 95% CI = </w:t>
      </w:r>
      <w:r w:rsidR="008D79C1">
        <w:rPr>
          <w:rFonts w:ascii="Garamond" w:hAnsi="Garamond"/>
          <w:bCs/>
        </w:rPr>
        <w:t>19.63</w:t>
      </w:r>
      <w:r w:rsidRPr="00311A8C">
        <w:rPr>
          <w:rFonts w:ascii="Garamond" w:hAnsi="Garamond"/>
          <w:bCs/>
        </w:rPr>
        <w:t xml:space="preserve">, </w:t>
      </w:r>
      <w:r w:rsidR="008D79C1">
        <w:rPr>
          <w:rFonts w:ascii="Garamond" w:hAnsi="Garamond"/>
          <w:bCs/>
        </w:rPr>
        <w:t>22.05</w:t>
      </w:r>
      <w:r w:rsidRPr="00311A8C">
        <w:rPr>
          <w:rFonts w:ascii="Garamond" w:hAnsi="Garamond"/>
          <w:bCs/>
        </w:rPr>
        <w:t xml:space="preserve">). </w:t>
      </w:r>
      <w:r w:rsidR="008D79C1" w:rsidRPr="00311A8C">
        <w:rPr>
          <w:rFonts w:ascii="Garamond" w:hAnsi="Garamond"/>
          <w:bCs/>
        </w:rPr>
        <w:t xml:space="preserve">As such, the difference in </w:t>
      </w:r>
      <w:r w:rsidR="008D79C1">
        <w:rPr>
          <w:rFonts w:ascii="Garamond" w:hAnsi="Garamond"/>
          <w:bCs/>
        </w:rPr>
        <w:t xml:space="preserve">mean score </w:t>
      </w:r>
      <w:r w:rsidR="008D79C1" w:rsidRPr="00311A8C">
        <w:rPr>
          <w:rFonts w:ascii="Garamond" w:hAnsi="Garamond"/>
          <w:bCs/>
        </w:rPr>
        <w:t xml:space="preserve">between </w:t>
      </w:r>
      <w:r w:rsidR="008D79C1">
        <w:rPr>
          <w:rFonts w:ascii="Garamond" w:hAnsi="Garamond"/>
          <w:bCs/>
        </w:rPr>
        <w:t xml:space="preserve">those in the </w:t>
      </w:r>
      <w:r w:rsidR="008D79C1">
        <w:rPr>
          <w:rFonts w:ascii="Garamond" w:hAnsi="Garamond"/>
          <w:bCs/>
        </w:rPr>
        <w:t>8-10</w:t>
      </w:r>
      <w:r w:rsidR="008D79C1">
        <w:rPr>
          <w:rFonts w:ascii="Garamond" w:hAnsi="Garamond"/>
          <w:bCs/>
        </w:rPr>
        <w:t xml:space="preserve"> group versus those in the </w:t>
      </w:r>
      <w:r w:rsidR="008D79C1">
        <w:rPr>
          <w:rFonts w:ascii="Garamond" w:hAnsi="Garamond"/>
          <w:bCs/>
        </w:rPr>
        <w:t>11-15</w:t>
      </w:r>
      <w:r w:rsidR="008D79C1">
        <w:rPr>
          <w:rFonts w:ascii="Garamond" w:hAnsi="Garamond"/>
          <w:bCs/>
        </w:rPr>
        <w:t xml:space="preserve"> group</w:t>
      </w:r>
      <w:r w:rsidR="008D79C1" w:rsidRPr="00311A8C">
        <w:rPr>
          <w:rFonts w:ascii="Garamond" w:hAnsi="Garamond"/>
          <w:bCs/>
        </w:rPr>
        <w:t xml:space="preserve"> is statistically significant.</w:t>
      </w:r>
    </w:p>
    <w:p w14:paraId="3F0755F0" w14:textId="77BB0C92" w:rsidR="00980491" w:rsidRPr="008D79C1" w:rsidRDefault="00980491" w:rsidP="00980491">
      <w:pPr>
        <w:rPr>
          <w:rFonts w:ascii="Garamond" w:hAnsi="Garamond"/>
          <w:bCs/>
          <w:lang w:val="en-FR"/>
        </w:rPr>
      </w:pPr>
    </w:p>
    <w:p w14:paraId="2A134A44" w14:textId="77777777" w:rsidR="00196357" w:rsidRDefault="00980491" w:rsidP="0063364A">
      <w:pPr>
        <w:rPr>
          <w:rFonts w:ascii="Garamond" w:hAnsi="Garamond"/>
          <w:bCs/>
          <w:lang w:val="en-FR"/>
        </w:rPr>
      </w:pPr>
      <w:r>
        <w:rPr>
          <w:rFonts w:ascii="Garamond" w:hAnsi="Garamond"/>
          <w:bCs/>
        </w:rPr>
        <w:t>P</w:t>
      </w:r>
      <w:r w:rsidRPr="00311A8C">
        <w:rPr>
          <w:rFonts w:ascii="Garamond" w:hAnsi="Garamond"/>
          <w:bCs/>
        </w:rPr>
        <w:t xml:space="preserve">articipants in the </w:t>
      </w:r>
      <w:r>
        <w:rPr>
          <w:rFonts w:ascii="Garamond" w:hAnsi="Garamond"/>
          <w:bCs/>
        </w:rPr>
        <w:t xml:space="preserve">native group </w:t>
      </w:r>
      <w:r w:rsidRPr="00311A8C">
        <w:rPr>
          <w:rFonts w:ascii="Garamond" w:hAnsi="Garamond"/>
          <w:bCs/>
        </w:rPr>
        <w:t xml:space="preserve">obtained </w:t>
      </w:r>
      <w:r>
        <w:rPr>
          <w:rFonts w:ascii="Garamond" w:hAnsi="Garamond"/>
          <w:bCs/>
        </w:rPr>
        <w:t xml:space="preserve">a </w:t>
      </w:r>
      <w:r w:rsidR="00C53DA0">
        <w:rPr>
          <w:rFonts w:ascii="Garamond" w:hAnsi="Garamond"/>
          <w:bCs/>
        </w:rPr>
        <w:t>higher</w:t>
      </w:r>
      <w:r>
        <w:rPr>
          <w:rFonts w:ascii="Garamond" w:hAnsi="Garamond"/>
          <w:bCs/>
        </w:rPr>
        <w:t xml:space="preserve"> score </w:t>
      </w:r>
      <w:r w:rsidRPr="00311A8C">
        <w:rPr>
          <w:rFonts w:ascii="Garamond" w:hAnsi="Garamond"/>
          <w:bCs/>
        </w:rPr>
        <w:t>(M</w:t>
      </w:r>
      <w:r>
        <w:rPr>
          <w:rFonts w:ascii="Garamond" w:hAnsi="Garamond"/>
          <w:bCs/>
        </w:rPr>
        <w:t xml:space="preserve"> =</w:t>
      </w:r>
      <w:r w:rsidRPr="00311A8C">
        <w:rPr>
          <w:rFonts w:ascii="Garamond" w:hAnsi="Garamond"/>
          <w:bCs/>
        </w:rPr>
        <w:t xml:space="preserve"> </w:t>
      </w:r>
      <w:r w:rsidR="008D79C1">
        <w:rPr>
          <w:rFonts w:ascii="Garamond" w:hAnsi="Garamond"/>
          <w:bCs/>
        </w:rPr>
        <w:t>235.67</w:t>
      </w:r>
      <w:r w:rsidRPr="00311A8C">
        <w:rPr>
          <w:rFonts w:ascii="Garamond" w:hAnsi="Garamond"/>
          <w:bCs/>
        </w:rPr>
        <w:t xml:space="preserve">, SD </w:t>
      </w:r>
      <w:r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1</w:t>
      </w:r>
      <w:r w:rsidR="008D79C1">
        <w:rPr>
          <w:rFonts w:ascii="Garamond" w:hAnsi="Garamond"/>
          <w:bCs/>
        </w:rPr>
        <w:t>3.08</w:t>
      </w:r>
      <w:r w:rsidRPr="00311A8C">
        <w:rPr>
          <w:rFonts w:ascii="Garamond" w:hAnsi="Garamond"/>
          <w:bCs/>
        </w:rPr>
        <w:t>)</w:t>
      </w:r>
      <w:r>
        <w:rPr>
          <w:rFonts w:ascii="Garamond" w:hAnsi="Garamond"/>
          <w:bCs/>
        </w:rPr>
        <w:t xml:space="preserve"> </w:t>
      </w:r>
      <w:r w:rsidRPr="00311A8C">
        <w:rPr>
          <w:rFonts w:ascii="Garamond" w:hAnsi="Garamond"/>
          <w:bCs/>
        </w:rPr>
        <w:t>than did those in the</w:t>
      </w:r>
      <w:r>
        <w:rPr>
          <w:rFonts w:ascii="Garamond" w:hAnsi="Garamond"/>
          <w:bCs/>
        </w:rPr>
        <w:t xml:space="preserve"> 3-7 group </w:t>
      </w:r>
      <w:r w:rsidRPr="00311A8C">
        <w:rPr>
          <w:rFonts w:ascii="Garamond" w:hAnsi="Garamond"/>
          <w:bCs/>
        </w:rPr>
        <w:t xml:space="preserve">(M </w:t>
      </w:r>
      <w:r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99405C">
        <w:rPr>
          <w:rFonts w:ascii="Garamond" w:hAnsi="Garamond"/>
          <w:bCs/>
        </w:rPr>
        <w:t>210.20</w:t>
      </w:r>
      <w:r w:rsidRPr="00311A8C">
        <w:rPr>
          <w:rFonts w:ascii="Garamond" w:hAnsi="Garamond"/>
          <w:bCs/>
        </w:rPr>
        <w:t xml:space="preserve">, SD </w:t>
      </w:r>
      <w:r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99405C">
        <w:rPr>
          <w:rFonts w:ascii="Garamond" w:hAnsi="Garamond"/>
          <w:bCs/>
        </w:rPr>
        <w:t>23.89</w:t>
      </w:r>
      <w:r w:rsidRPr="00311A8C">
        <w:rPr>
          <w:rFonts w:ascii="Garamond" w:hAnsi="Garamond"/>
          <w:bCs/>
        </w:rPr>
        <w:t>),</w:t>
      </w:r>
      <w:r>
        <w:rPr>
          <w:rFonts w:ascii="Garamond" w:hAnsi="Garamond"/>
          <w:bCs/>
        </w:rPr>
        <w:t xml:space="preserve"> </w:t>
      </w:r>
      <w:proofErr w:type="gramStart"/>
      <w:r w:rsidRPr="007A6962">
        <w:rPr>
          <w:rFonts w:ascii="Garamond" w:hAnsi="Garamond"/>
          <w:bCs/>
          <w:i/>
          <w:iCs/>
        </w:rPr>
        <w:t>t</w:t>
      </w:r>
      <w:r w:rsidRPr="00311A8C">
        <w:rPr>
          <w:rFonts w:ascii="Garamond" w:hAnsi="Garamond"/>
          <w:bCs/>
        </w:rPr>
        <w:t>(</w:t>
      </w:r>
      <w:proofErr w:type="gramEnd"/>
      <w:r w:rsidR="000F6CC5">
        <w:rPr>
          <w:rFonts w:ascii="Garamond" w:hAnsi="Garamond"/>
          <w:bCs/>
        </w:rPr>
        <w:t>843.18</w:t>
      </w:r>
      <w:r w:rsidRPr="00311A8C">
        <w:rPr>
          <w:rFonts w:ascii="Garamond" w:hAnsi="Garamond"/>
          <w:bCs/>
        </w:rPr>
        <w:t xml:space="preserve">) </w:t>
      </w:r>
      <w:r>
        <w:rPr>
          <w:rFonts w:ascii="Garamond" w:hAnsi="Garamond"/>
          <w:bCs/>
        </w:rPr>
        <w:t>=</w:t>
      </w:r>
      <w:r w:rsidRPr="00311A8C">
        <w:rPr>
          <w:rFonts w:ascii="Garamond" w:hAnsi="Garamond"/>
          <w:bCs/>
        </w:rPr>
        <w:t xml:space="preserve"> </w:t>
      </w:r>
      <w:r w:rsidR="000F6CC5">
        <w:rPr>
          <w:rFonts w:ascii="Garamond" w:hAnsi="Garamond"/>
          <w:bCs/>
        </w:rPr>
        <w:t>21.827</w:t>
      </w:r>
      <w:r w:rsidRPr="00311A8C">
        <w:rPr>
          <w:rFonts w:ascii="Garamond" w:hAnsi="Garamond"/>
          <w:bCs/>
        </w:rPr>
        <w:t xml:space="preserve">, p </w:t>
      </w:r>
      <w:r>
        <w:rPr>
          <w:rFonts w:ascii="Garamond" w:hAnsi="Garamond"/>
          <w:bCs/>
        </w:rPr>
        <w:t>&lt; .001</w:t>
      </w:r>
      <w:r w:rsidRPr="00311A8C">
        <w:rPr>
          <w:rFonts w:ascii="Garamond" w:hAnsi="Garamond"/>
          <w:bCs/>
        </w:rPr>
        <w:t xml:space="preserve">, d </w:t>
      </w:r>
      <w:r>
        <w:rPr>
          <w:rFonts w:ascii="Garamond" w:hAnsi="Garamond"/>
          <w:bCs/>
        </w:rPr>
        <w:t xml:space="preserve">= </w:t>
      </w:r>
      <w:r w:rsidR="000F6CC5">
        <w:rPr>
          <w:rFonts w:ascii="Garamond" w:hAnsi="Garamond"/>
          <w:bCs/>
        </w:rPr>
        <w:t>1.322</w:t>
      </w:r>
      <w:r>
        <w:rPr>
          <w:rFonts w:ascii="Garamond" w:hAnsi="Garamond"/>
          <w:bCs/>
        </w:rPr>
        <w:t>.</w:t>
      </w:r>
      <w:r w:rsidRPr="00311A8C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T</w:t>
      </w:r>
      <w:r w:rsidRPr="00311A8C">
        <w:rPr>
          <w:rFonts w:ascii="Garamond" w:hAnsi="Garamond"/>
          <w:bCs/>
        </w:rPr>
        <w:t xml:space="preserve">here was a mean difference in </w:t>
      </w:r>
      <w:r>
        <w:rPr>
          <w:rFonts w:ascii="Garamond" w:hAnsi="Garamond"/>
          <w:bCs/>
        </w:rPr>
        <w:t>number of heads called</w:t>
      </w:r>
      <w:r w:rsidRPr="00311A8C">
        <w:rPr>
          <w:rFonts w:ascii="Garamond" w:hAnsi="Garamond"/>
          <w:bCs/>
        </w:rPr>
        <w:t xml:space="preserve"> between the groups of </w:t>
      </w:r>
      <w:r w:rsidR="0099405C">
        <w:rPr>
          <w:rFonts w:ascii="Garamond" w:hAnsi="Garamond"/>
          <w:bCs/>
        </w:rPr>
        <w:t>25.47</w:t>
      </w:r>
      <w:r w:rsidRPr="00311A8C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 xml:space="preserve">(see Figure </w:t>
      </w:r>
      <w:r w:rsidR="004D13C9">
        <w:rPr>
          <w:rFonts w:ascii="Garamond" w:hAnsi="Garamond"/>
          <w:bCs/>
        </w:rPr>
        <w:t>5</w:t>
      </w:r>
      <w:r>
        <w:rPr>
          <w:rFonts w:ascii="Garamond" w:hAnsi="Garamond"/>
          <w:bCs/>
        </w:rPr>
        <w:t>)</w:t>
      </w:r>
      <w:r w:rsidRPr="00311A8C">
        <w:rPr>
          <w:rFonts w:ascii="Garamond" w:hAnsi="Garamond"/>
          <w:bCs/>
        </w:rPr>
        <w:t xml:space="preserve">. The 95% confidence interval associated with this mean difference was obtained with 5,000 bootstrap resamples and </w:t>
      </w:r>
      <w:r>
        <w:rPr>
          <w:rFonts w:ascii="Garamond" w:hAnsi="Garamond"/>
          <w:bCs/>
        </w:rPr>
        <w:t>did not include zero</w:t>
      </w:r>
      <w:r w:rsidRPr="00311A8C">
        <w:rPr>
          <w:rFonts w:ascii="Garamond" w:hAnsi="Garamond"/>
          <w:bCs/>
        </w:rPr>
        <w:t xml:space="preserve"> (</w:t>
      </w:r>
      <w:proofErr w:type="spellStart"/>
      <w:r>
        <w:rPr>
          <w:rFonts w:ascii="Garamond" w:hAnsi="Garamond"/>
          <w:bCs/>
        </w:rPr>
        <w:t>M</w:t>
      </w:r>
      <w:r w:rsidRPr="00D5247E">
        <w:rPr>
          <w:rFonts w:ascii="Garamond" w:hAnsi="Garamond"/>
          <w:bCs/>
          <w:vertAlign w:val="subscript"/>
        </w:rPr>
        <w:t>diff</w:t>
      </w:r>
      <w:proofErr w:type="spellEnd"/>
      <w:r w:rsidRPr="00311A8C">
        <w:rPr>
          <w:rFonts w:ascii="Garamond" w:hAnsi="Garamond"/>
          <w:bCs/>
        </w:rPr>
        <w:t xml:space="preserve"> = </w:t>
      </w:r>
      <w:r w:rsidR="0099405C">
        <w:rPr>
          <w:rFonts w:ascii="Garamond" w:hAnsi="Garamond"/>
          <w:bCs/>
        </w:rPr>
        <w:t>25.47</w:t>
      </w:r>
      <w:r w:rsidRPr="00311A8C">
        <w:rPr>
          <w:rFonts w:ascii="Garamond" w:hAnsi="Garamond"/>
          <w:bCs/>
        </w:rPr>
        <w:t xml:space="preserve">, 95% CI = </w:t>
      </w:r>
      <w:r w:rsidR="0099405C">
        <w:rPr>
          <w:rFonts w:ascii="Garamond" w:hAnsi="Garamond"/>
          <w:bCs/>
        </w:rPr>
        <w:t>23.176</w:t>
      </w:r>
      <w:r w:rsidRPr="00311A8C">
        <w:rPr>
          <w:rFonts w:ascii="Garamond" w:hAnsi="Garamond"/>
          <w:bCs/>
        </w:rPr>
        <w:t xml:space="preserve">, </w:t>
      </w:r>
      <w:r w:rsidR="0099405C">
        <w:rPr>
          <w:rFonts w:ascii="Garamond" w:hAnsi="Garamond"/>
          <w:bCs/>
        </w:rPr>
        <w:t>27.757</w:t>
      </w:r>
      <w:r w:rsidRPr="00311A8C">
        <w:rPr>
          <w:rFonts w:ascii="Garamond" w:hAnsi="Garamond"/>
          <w:bCs/>
        </w:rPr>
        <w:t xml:space="preserve">). </w:t>
      </w:r>
      <w:r w:rsidR="008D79C1" w:rsidRPr="00311A8C">
        <w:rPr>
          <w:rFonts w:ascii="Garamond" w:hAnsi="Garamond"/>
          <w:bCs/>
        </w:rPr>
        <w:t xml:space="preserve">As such, the </w:t>
      </w:r>
      <w:r w:rsidR="008D79C1" w:rsidRPr="00311A8C">
        <w:rPr>
          <w:rFonts w:ascii="Garamond" w:hAnsi="Garamond"/>
          <w:bCs/>
        </w:rPr>
        <w:lastRenderedPageBreak/>
        <w:t xml:space="preserve">difference in </w:t>
      </w:r>
      <w:r w:rsidR="008D79C1">
        <w:rPr>
          <w:rFonts w:ascii="Garamond" w:hAnsi="Garamond"/>
          <w:bCs/>
        </w:rPr>
        <w:t xml:space="preserve">mean score </w:t>
      </w:r>
      <w:r w:rsidR="008D79C1" w:rsidRPr="00311A8C">
        <w:rPr>
          <w:rFonts w:ascii="Garamond" w:hAnsi="Garamond"/>
          <w:bCs/>
        </w:rPr>
        <w:t xml:space="preserve">between </w:t>
      </w:r>
      <w:r w:rsidR="008D79C1">
        <w:rPr>
          <w:rFonts w:ascii="Garamond" w:hAnsi="Garamond"/>
          <w:bCs/>
        </w:rPr>
        <w:t xml:space="preserve">those in the </w:t>
      </w:r>
      <w:r w:rsidR="008D79C1">
        <w:rPr>
          <w:rFonts w:ascii="Garamond" w:hAnsi="Garamond"/>
          <w:bCs/>
        </w:rPr>
        <w:t>11-15</w:t>
      </w:r>
      <w:r w:rsidR="008D79C1">
        <w:rPr>
          <w:rFonts w:ascii="Garamond" w:hAnsi="Garamond"/>
          <w:bCs/>
        </w:rPr>
        <w:t xml:space="preserve"> group versus those in the </w:t>
      </w:r>
      <w:r w:rsidR="008D79C1">
        <w:rPr>
          <w:rFonts w:ascii="Garamond" w:hAnsi="Garamond"/>
          <w:bCs/>
        </w:rPr>
        <w:t>17-39</w:t>
      </w:r>
      <w:r w:rsidR="008D79C1">
        <w:rPr>
          <w:rFonts w:ascii="Garamond" w:hAnsi="Garamond"/>
          <w:bCs/>
        </w:rPr>
        <w:t xml:space="preserve"> group</w:t>
      </w:r>
      <w:r w:rsidR="008D79C1" w:rsidRPr="00311A8C">
        <w:rPr>
          <w:rFonts w:ascii="Garamond" w:hAnsi="Garamond"/>
          <w:bCs/>
        </w:rPr>
        <w:t xml:space="preserve"> is statistically significant.</w:t>
      </w:r>
    </w:p>
    <w:p w14:paraId="56FAADC0" w14:textId="77777777" w:rsidR="00196357" w:rsidRDefault="00196357" w:rsidP="0063364A">
      <w:pPr>
        <w:rPr>
          <w:rFonts w:ascii="Garamond" w:hAnsi="Garamond"/>
          <w:bCs/>
          <w:lang w:val="en-FR"/>
        </w:rPr>
      </w:pPr>
    </w:p>
    <w:p w14:paraId="48791564" w14:textId="5566C05F" w:rsidR="0063364A" w:rsidRDefault="00E96B21" w:rsidP="009428A8">
      <w:pPr>
        <w:rPr>
          <w:rFonts w:ascii="Garamond" w:hAnsi="Garamond"/>
        </w:rPr>
      </w:pPr>
      <w:r w:rsidRPr="00E96B21">
        <w:rPr>
          <w:rFonts w:ascii="Garamond" w:hAnsi="Garamond"/>
        </w:rPr>
        <w:t>The</w:t>
      </w:r>
      <w:r>
        <w:rPr>
          <w:rFonts w:ascii="Garamond" w:hAnsi="Garamond"/>
        </w:rPr>
        <w:t>se</w:t>
      </w:r>
      <w:r w:rsidRPr="00E96B21">
        <w:rPr>
          <w:rFonts w:ascii="Garamond" w:hAnsi="Garamond"/>
        </w:rPr>
        <w:t xml:space="preserve"> results </w:t>
      </w:r>
      <w:r>
        <w:rPr>
          <w:rFonts w:ascii="Garamond" w:hAnsi="Garamond"/>
        </w:rPr>
        <w:t>indicate</w:t>
      </w:r>
      <w:r w:rsidRPr="00E96B21">
        <w:rPr>
          <w:rFonts w:ascii="Garamond" w:hAnsi="Garamond"/>
        </w:rPr>
        <w:t xml:space="preserve"> a </w:t>
      </w:r>
      <w:r>
        <w:rPr>
          <w:rFonts w:ascii="Garamond" w:hAnsi="Garamond"/>
        </w:rPr>
        <w:t xml:space="preserve">clear </w:t>
      </w:r>
      <w:r w:rsidRPr="00E96B21">
        <w:rPr>
          <w:rFonts w:ascii="Garamond" w:hAnsi="Garamond"/>
        </w:rPr>
        <w:t xml:space="preserve">relationship between age of arrival in the </w:t>
      </w:r>
      <w:r>
        <w:rPr>
          <w:rFonts w:ascii="Garamond" w:hAnsi="Garamond"/>
        </w:rPr>
        <w:t>United Kingdom</w:t>
      </w:r>
      <w:r w:rsidRPr="00E96B21">
        <w:rPr>
          <w:rFonts w:ascii="Garamond" w:hAnsi="Garamond"/>
        </w:rPr>
        <w:t xml:space="preserve"> and </w:t>
      </w:r>
      <w:r>
        <w:rPr>
          <w:rFonts w:ascii="Garamond" w:hAnsi="Garamond"/>
        </w:rPr>
        <w:t xml:space="preserve">test </w:t>
      </w:r>
      <w:r w:rsidRPr="00E96B21">
        <w:rPr>
          <w:rFonts w:ascii="Garamond" w:hAnsi="Garamond"/>
        </w:rPr>
        <w:t xml:space="preserve">performance. </w:t>
      </w:r>
      <w:r>
        <w:rPr>
          <w:rFonts w:ascii="Garamond" w:hAnsi="Garamond"/>
        </w:rPr>
        <w:t>Participants</w:t>
      </w:r>
      <w:r w:rsidRPr="00E96B21">
        <w:rPr>
          <w:rFonts w:ascii="Garamond" w:hAnsi="Garamond"/>
        </w:rPr>
        <w:t xml:space="preserve"> who </w:t>
      </w:r>
      <w:r>
        <w:rPr>
          <w:rFonts w:ascii="Garamond" w:hAnsi="Garamond"/>
        </w:rPr>
        <w:t xml:space="preserve">were exposed to English at a younger </w:t>
      </w:r>
      <w:r w:rsidRPr="00E96B21">
        <w:rPr>
          <w:rFonts w:ascii="Garamond" w:hAnsi="Garamond"/>
        </w:rPr>
        <w:t xml:space="preserve">age </w:t>
      </w:r>
      <w:r>
        <w:rPr>
          <w:rFonts w:ascii="Garamond" w:hAnsi="Garamond"/>
        </w:rPr>
        <w:t>got</w:t>
      </w:r>
      <w:r w:rsidRPr="00E96B21">
        <w:rPr>
          <w:rFonts w:ascii="Garamond" w:hAnsi="Garamond"/>
        </w:rPr>
        <w:t xml:space="preserve"> </w:t>
      </w:r>
      <w:r>
        <w:rPr>
          <w:rFonts w:ascii="Garamond" w:hAnsi="Garamond"/>
        </w:rPr>
        <w:t>better</w:t>
      </w:r>
      <w:r w:rsidRPr="00E96B21">
        <w:rPr>
          <w:rFonts w:ascii="Garamond" w:hAnsi="Garamond"/>
        </w:rPr>
        <w:t xml:space="preserve"> scores on the test than those </w:t>
      </w:r>
      <w:r>
        <w:rPr>
          <w:rFonts w:ascii="Garamond" w:hAnsi="Garamond"/>
        </w:rPr>
        <w:t xml:space="preserve">who were exposed to the language later in life. Test performance decreased as age of first exposure to English increased. This supports the critical period theory of language acquisition. </w:t>
      </w:r>
      <w:r w:rsidR="0063364A" w:rsidRPr="0063364A">
        <w:rPr>
          <w:rFonts w:ascii="Garamond" w:hAnsi="Garamond"/>
        </w:rPr>
        <w:t xml:space="preserve">The </w:t>
      </w:r>
      <w:r w:rsidR="00196357" w:rsidRPr="00E96B21">
        <w:rPr>
          <w:rFonts w:ascii="Garamond" w:hAnsi="Garamond"/>
        </w:rPr>
        <w:t>null</w:t>
      </w:r>
      <w:r w:rsidR="0063364A" w:rsidRPr="0063364A">
        <w:rPr>
          <w:rFonts w:ascii="Garamond" w:hAnsi="Garamond"/>
        </w:rPr>
        <w:t xml:space="preserve"> hypothesis </w:t>
      </w:r>
      <w:r>
        <w:rPr>
          <w:rFonts w:ascii="Garamond" w:hAnsi="Garamond"/>
        </w:rPr>
        <w:t>states</w:t>
      </w:r>
      <w:r w:rsidR="0063364A" w:rsidRPr="0063364A">
        <w:rPr>
          <w:rFonts w:ascii="Garamond" w:hAnsi="Garamond"/>
        </w:rPr>
        <w:t xml:space="preserve"> that </w:t>
      </w:r>
      <w:r w:rsidR="00196357">
        <w:rPr>
          <w:rFonts w:ascii="Garamond" w:hAnsi="Garamond"/>
        </w:rPr>
        <w:t>there</w:t>
      </w:r>
      <w:r w:rsidR="00196357" w:rsidRPr="00A86CEE">
        <w:rPr>
          <w:rFonts w:ascii="Garamond" w:hAnsi="Garamond"/>
        </w:rPr>
        <w:t xml:space="preserve"> </w:t>
      </w:r>
      <w:r w:rsidR="00196357">
        <w:rPr>
          <w:rFonts w:ascii="Garamond" w:hAnsi="Garamond"/>
        </w:rPr>
        <w:t xml:space="preserve">is </w:t>
      </w:r>
      <w:r w:rsidR="00196357" w:rsidRPr="00A86CEE">
        <w:rPr>
          <w:rFonts w:ascii="Garamond" w:hAnsi="Garamond"/>
        </w:rPr>
        <w:t xml:space="preserve">no relationship between the age of exposure to English and </w:t>
      </w:r>
      <w:r w:rsidR="00196357">
        <w:rPr>
          <w:rFonts w:ascii="Garamond" w:hAnsi="Garamond"/>
        </w:rPr>
        <w:t xml:space="preserve">participants’ </w:t>
      </w:r>
      <w:r w:rsidR="00196357" w:rsidRPr="00A86CEE">
        <w:rPr>
          <w:rFonts w:ascii="Garamond" w:hAnsi="Garamond"/>
        </w:rPr>
        <w:t>performance in the test</w:t>
      </w:r>
      <w:r w:rsidR="00196357">
        <w:rPr>
          <w:rFonts w:ascii="Garamond" w:hAnsi="Garamond"/>
        </w:rPr>
        <w:t>. Given these results, I reject the null hypothesis</w:t>
      </w:r>
      <w:r>
        <w:rPr>
          <w:rFonts w:ascii="Garamond" w:hAnsi="Garamond"/>
        </w:rPr>
        <w:t>.</w:t>
      </w:r>
    </w:p>
    <w:p w14:paraId="1526F90F" w14:textId="77777777" w:rsidR="00E96B21" w:rsidRPr="00E96B21" w:rsidRDefault="00E96B21" w:rsidP="00C53DA0">
      <w:pPr>
        <w:rPr>
          <w:rFonts w:ascii="Garamond" w:hAnsi="Garamond"/>
        </w:rPr>
      </w:pPr>
    </w:p>
    <w:p w14:paraId="473ADBBE" w14:textId="77777777" w:rsidR="0063364A" w:rsidRDefault="0063364A" w:rsidP="00C53DA0">
      <w:pPr>
        <w:rPr>
          <w:lang w:val="en-FR"/>
        </w:rPr>
      </w:pPr>
    </w:p>
    <w:p w14:paraId="2D6FD47B" w14:textId="6EEE63F8" w:rsidR="00C53DA0" w:rsidRDefault="00C53DA0" w:rsidP="00C53DA0">
      <w:pPr>
        <w:rPr>
          <w:rFonts w:ascii="Garamond" w:hAnsi="Garamond"/>
          <w:bCs/>
          <w:noProof/>
        </w:rPr>
      </w:pPr>
      <w:r w:rsidRPr="00C53DA0">
        <w:rPr>
          <w:lang w:val="en-FR"/>
        </w:rPr>
        <w:drawing>
          <wp:anchor distT="0" distB="0" distL="114300" distR="114300" simplePos="0" relativeHeight="251660288" behindDoc="0" locked="0" layoutInCell="1" allowOverlap="1" wp14:anchorId="3D8563F8" wp14:editId="37075E1B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2807335" cy="1737360"/>
            <wp:effectExtent l="0" t="0" r="0" b="2540"/>
            <wp:wrapSquare wrapText="bothSides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47E">
        <w:rPr>
          <w:rFonts w:ascii="Garamond" w:hAnsi="Garamond"/>
          <w:b/>
          <w:noProof/>
        </w:rPr>
        <w:t xml:space="preserve">Figure </w:t>
      </w:r>
      <w:r>
        <w:rPr>
          <w:rFonts w:ascii="Garamond" w:hAnsi="Garamond"/>
          <w:b/>
          <w:noProof/>
        </w:rPr>
        <w:t>2</w:t>
      </w:r>
      <w:r w:rsidRPr="00D5247E">
        <w:rPr>
          <w:rFonts w:ascii="Garamond" w:hAnsi="Garamond"/>
          <w:b/>
          <w:noProof/>
        </w:rPr>
        <w:t>.</w:t>
      </w:r>
      <w:r>
        <w:rPr>
          <w:rFonts w:ascii="Garamond" w:hAnsi="Garamond"/>
          <w:bCs/>
          <w:noProof/>
        </w:rPr>
        <w:t xml:space="preserve"> The</w:t>
      </w:r>
      <w:r w:rsidRPr="00D5247E">
        <w:rPr>
          <w:rFonts w:ascii="Garamond" w:hAnsi="Garamond"/>
          <w:bCs/>
          <w:noProof/>
        </w:rPr>
        <w:t xml:space="preserve"> </w:t>
      </w:r>
      <w:r>
        <w:rPr>
          <w:rFonts w:ascii="Garamond" w:hAnsi="Garamond"/>
          <w:bCs/>
          <w:noProof/>
        </w:rPr>
        <w:t xml:space="preserve">mean score </w:t>
      </w:r>
      <w:r w:rsidRPr="00D5247E">
        <w:rPr>
          <w:rFonts w:ascii="Garamond" w:hAnsi="Garamond"/>
          <w:bCs/>
          <w:noProof/>
        </w:rPr>
        <w:t xml:space="preserve">in the </w:t>
      </w:r>
      <w:r>
        <w:rPr>
          <w:rFonts w:ascii="Garamond" w:hAnsi="Garamond"/>
          <w:bCs/>
          <w:noProof/>
        </w:rPr>
        <w:t xml:space="preserve">3-7 group </w:t>
      </w:r>
      <w:r w:rsidRPr="00D5247E">
        <w:rPr>
          <w:rFonts w:ascii="Garamond" w:hAnsi="Garamond"/>
          <w:bCs/>
          <w:noProof/>
        </w:rPr>
        <w:t>was significantly greater than in the</w:t>
      </w:r>
      <w:r>
        <w:rPr>
          <w:rFonts w:ascii="Garamond" w:hAnsi="Garamond"/>
          <w:bCs/>
          <w:noProof/>
        </w:rPr>
        <w:t xml:space="preserve"> native group</w:t>
      </w:r>
      <w:r w:rsidR="00FF53C9">
        <w:rPr>
          <w:rFonts w:ascii="Garamond" w:hAnsi="Garamond"/>
          <w:bCs/>
          <w:noProof/>
        </w:rPr>
        <w:t>.</w:t>
      </w:r>
    </w:p>
    <w:p w14:paraId="1C90ADFD" w14:textId="36374149" w:rsidR="00C53DA0" w:rsidRDefault="00C53DA0" w:rsidP="00F2620E">
      <w:pPr>
        <w:rPr>
          <w:rFonts w:ascii="Garamond" w:hAnsi="Garamond"/>
          <w:bCs/>
          <w:noProof/>
        </w:rPr>
      </w:pPr>
    </w:p>
    <w:p w14:paraId="01EEBA1D" w14:textId="35399A97" w:rsidR="00C53DA0" w:rsidRDefault="00C53DA0" w:rsidP="00C53DA0">
      <w:pPr>
        <w:rPr>
          <w:rFonts w:ascii="Garamond" w:hAnsi="Garamond"/>
          <w:bCs/>
          <w:noProof/>
        </w:rPr>
      </w:pPr>
    </w:p>
    <w:p w14:paraId="7DEC6F2A" w14:textId="72719611" w:rsidR="00C53DA0" w:rsidRDefault="00C53DA0" w:rsidP="00C53DA0">
      <w:pPr>
        <w:rPr>
          <w:rFonts w:ascii="Garamond" w:hAnsi="Garamond"/>
          <w:bCs/>
          <w:noProof/>
        </w:rPr>
      </w:pPr>
    </w:p>
    <w:p w14:paraId="0A96F51A" w14:textId="5C45A1B6" w:rsidR="00C53DA0" w:rsidRDefault="00C53DA0" w:rsidP="00C53DA0">
      <w:pPr>
        <w:rPr>
          <w:rFonts w:ascii="Garamond" w:hAnsi="Garamond"/>
          <w:bCs/>
          <w:noProof/>
        </w:rPr>
      </w:pPr>
    </w:p>
    <w:p w14:paraId="7659B6F4" w14:textId="6ACCA7CC" w:rsidR="00C53DA0" w:rsidRDefault="00C53DA0" w:rsidP="00C53DA0">
      <w:pPr>
        <w:rPr>
          <w:rFonts w:ascii="Garamond" w:hAnsi="Garamond"/>
          <w:bCs/>
          <w:noProof/>
        </w:rPr>
      </w:pPr>
    </w:p>
    <w:p w14:paraId="484E325F" w14:textId="7AEF4AB0" w:rsidR="00C53DA0" w:rsidRDefault="00C53DA0" w:rsidP="00C53DA0">
      <w:pPr>
        <w:rPr>
          <w:rFonts w:ascii="Garamond" w:hAnsi="Garamond"/>
          <w:bCs/>
          <w:noProof/>
        </w:rPr>
      </w:pPr>
    </w:p>
    <w:p w14:paraId="49113C85" w14:textId="354B9A73" w:rsidR="00C53DA0" w:rsidRDefault="00C53DA0" w:rsidP="00C53DA0">
      <w:pPr>
        <w:rPr>
          <w:rFonts w:ascii="Garamond" w:hAnsi="Garamond"/>
          <w:bCs/>
          <w:noProof/>
        </w:rPr>
      </w:pPr>
    </w:p>
    <w:p w14:paraId="30710957" w14:textId="7B802718" w:rsidR="00C53DA0" w:rsidRDefault="00C53DA0" w:rsidP="00C53DA0">
      <w:pPr>
        <w:rPr>
          <w:rFonts w:ascii="Garamond" w:hAnsi="Garamond"/>
          <w:bCs/>
          <w:noProof/>
        </w:rPr>
      </w:pPr>
    </w:p>
    <w:p w14:paraId="7E68B169" w14:textId="116B065A" w:rsidR="00C53DA0" w:rsidRDefault="00C53DA0" w:rsidP="00C53DA0">
      <w:pPr>
        <w:rPr>
          <w:rFonts w:ascii="Garamond" w:hAnsi="Garamond"/>
          <w:bCs/>
          <w:noProof/>
        </w:rPr>
      </w:pPr>
    </w:p>
    <w:p w14:paraId="38F1136F" w14:textId="13836AF5" w:rsidR="00C53DA0" w:rsidRDefault="00C53DA0" w:rsidP="00C53DA0">
      <w:pPr>
        <w:rPr>
          <w:rFonts w:ascii="Garamond" w:hAnsi="Garamond"/>
          <w:bCs/>
          <w:noProof/>
        </w:rPr>
      </w:pPr>
    </w:p>
    <w:p w14:paraId="33AB067B" w14:textId="338237FA" w:rsidR="00C53DA0" w:rsidRDefault="004C7BA8" w:rsidP="00C53DA0">
      <w:pPr>
        <w:rPr>
          <w:rFonts w:ascii="Garamond" w:hAnsi="Garamond"/>
          <w:bCs/>
          <w:noProof/>
        </w:rPr>
      </w:pPr>
      <w:r w:rsidRPr="00C53DA0">
        <w:rPr>
          <w:rFonts w:ascii="Garamond" w:hAnsi="Garamond"/>
        </w:rPr>
        <w:drawing>
          <wp:anchor distT="0" distB="0" distL="114300" distR="114300" simplePos="0" relativeHeight="251658240" behindDoc="0" locked="0" layoutInCell="1" allowOverlap="1" wp14:anchorId="5CB8E1BE" wp14:editId="087A5F89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2807335" cy="1737360"/>
            <wp:effectExtent l="0" t="0" r="0" b="2540"/>
            <wp:wrapSquare wrapText="bothSides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D7185" w14:textId="5A0601DC" w:rsidR="00C53DA0" w:rsidRDefault="00C53DA0" w:rsidP="00C53DA0">
      <w:pPr>
        <w:rPr>
          <w:rFonts w:ascii="Garamond" w:hAnsi="Garamond"/>
          <w:bCs/>
          <w:noProof/>
        </w:rPr>
      </w:pPr>
      <w:r w:rsidRPr="00D5247E">
        <w:rPr>
          <w:rFonts w:ascii="Garamond" w:hAnsi="Garamond"/>
          <w:b/>
          <w:noProof/>
        </w:rPr>
        <w:t xml:space="preserve">Figure </w:t>
      </w:r>
      <w:r>
        <w:rPr>
          <w:rFonts w:ascii="Garamond" w:hAnsi="Garamond"/>
          <w:b/>
          <w:noProof/>
        </w:rPr>
        <w:t>3</w:t>
      </w:r>
      <w:r w:rsidRPr="00D5247E">
        <w:rPr>
          <w:rFonts w:ascii="Garamond" w:hAnsi="Garamond"/>
          <w:b/>
          <w:noProof/>
        </w:rPr>
        <w:t>.</w:t>
      </w:r>
      <w:r>
        <w:rPr>
          <w:rFonts w:ascii="Garamond" w:hAnsi="Garamond"/>
          <w:bCs/>
          <w:noProof/>
        </w:rPr>
        <w:t xml:space="preserve"> </w:t>
      </w:r>
      <w:r>
        <w:rPr>
          <w:rFonts w:ascii="Garamond" w:hAnsi="Garamond"/>
          <w:bCs/>
          <w:noProof/>
        </w:rPr>
        <w:t xml:space="preserve">The </w:t>
      </w:r>
      <w:r>
        <w:rPr>
          <w:rFonts w:ascii="Garamond" w:hAnsi="Garamond"/>
          <w:bCs/>
          <w:noProof/>
        </w:rPr>
        <w:t xml:space="preserve">mean score </w:t>
      </w:r>
      <w:r w:rsidRPr="00D5247E">
        <w:rPr>
          <w:rFonts w:ascii="Garamond" w:hAnsi="Garamond"/>
          <w:bCs/>
          <w:noProof/>
        </w:rPr>
        <w:t xml:space="preserve">in the </w:t>
      </w:r>
      <w:r>
        <w:rPr>
          <w:rFonts w:ascii="Garamond" w:hAnsi="Garamond"/>
          <w:bCs/>
          <w:noProof/>
        </w:rPr>
        <w:t>3-7</w:t>
      </w:r>
      <w:r>
        <w:rPr>
          <w:rFonts w:ascii="Garamond" w:hAnsi="Garamond"/>
          <w:bCs/>
          <w:noProof/>
        </w:rPr>
        <w:t xml:space="preserve"> group </w:t>
      </w:r>
      <w:r w:rsidRPr="00D5247E">
        <w:rPr>
          <w:rFonts w:ascii="Garamond" w:hAnsi="Garamond"/>
          <w:bCs/>
          <w:noProof/>
        </w:rPr>
        <w:t>was significantly greater than in the</w:t>
      </w:r>
      <w:r>
        <w:rPr>
          <w:rFonts w:ascii="Garamond" w:hAnsi="Garamond"/>
          <w:bCs/>
          <w:noProof/>
        </w:rPr>
        <w:t xml:space="preserve"> </w:t>
      </w:r>
      <w:r>
        <w:rPr>
          <w:rFonts w:ascii="Garamond" w:hAnsi="Garamond"/>
          <w:bCs/>
          <w:noProof/>
        </w:rPr>
        <w:t xml:space="preserve">8-10 </w:t>
      </w:r>
      <w:r>
        <w:rPr>
          <w:rFonts w:ascii="Garamond" w:hAnsi="Garamond"/>
          <w:bCs/>
          <w:noProof/>
        </w:rPr>
        <w:t>group</w:t>
      </w:r>
      <w:r w:rsidR="00FF53C9">
        <w:rPr>
          <w:rFonts w:ascii="Garamond" w:hAnsi="Garamond"/>
          <w:bCs/>
          <w:noProof/>
        </w:rPr>
        <w:t>.</w:t>
      </w:r>
    </w:p>
    <w:p w14:paraId="79F237FA" w14:textId="5C5A69A1" w:rsidR="00C53DA0" w:rsidRDefault="00C53DA0" w:rsidP="00C53DA0">
      <w:pPr>
        <w:rPr>
          <w:rFonts w:ascii="Garamond" w:hAnsi="Garamond"/>
          <w:bCs/>
          <w:noProof/>
        </w:rPr>
      </w:pPr>
    </w:p>
    <w:p w14:paraId="1393306A" w14:textId="2D9D72DE" w:rsidR="00C53DA0" w:rsidRDefault="00C53DA0" w:rsidP="00C53DA0">
      <w:pPr>
        <w:rPr>
          <w:rFonts w:ascii="Garamond" w:hAnsi="Garamond"/>
        </w:rPr>
      </w:pPr>
    </w:p>
    <w:p w14:paraId="0C4C8A5D" w14:textId="25A859F4" w:rsidR="00C53DA0" w:rsidRDefault="00C53DA0" w:rsidP="00C53DA0">
      <w:pPr>
        <w:rPr>
          <w:rFonts w:ascii="Garamond" w:hAnsi="Garamond"/>
        </w:rPr>
      </w:pPr>
    </w:p>
    <w:p w14:paraId="468FB24B" w14:textId="11B7BA1F" w:rsidR="004C7BA8" w:rsidRDefault="004C7BA8" w:rsidP="00C53DA0">
      <w:pPr>
        <w:rPr>
          <w:rFonts w:ascii="Garamond" w:hAnsi="Garamond"/>
        </w:rPr>
      </w:pPr>
    </w:p>
    <w:p w14:paraId="506BE6B1" w14:textId="77777777" w:rsidR="004C7BA8" w:rsidRDefault="004C7BA8" w:rsidP="00C53DA0">
      <w:pPr>
        <w:rPr>
          <w:rFonts w:ascii="Garamond" w:hAnsi="Garamond"/>
        </w:rPr>
      </w:pPr>
    </w:p>
    <w:p w14:paraId="09D3574A" w14:textId="7EAAB096" w:rsidR="00C53DA0" w:rsidRDefault="00C53DA0" w:rsidP="00C53DA0">
      <w:pPr>
        <w:rPr>
          <w:rFonts w:ascii="Garamond" w:hAnsi="Garamond"/>
        </w:rPr>
      </w:pPr>
    </w:p>
    <w:p w14:paraId="75455F9A" w14:textId="0171938E" w:rsidR="004C7BA8" w:rsidRDefault="004C7BA8" w:rsidP="00C53DA0">
      <w:pPr>
        <w:rPr>
          <w:rFonts w:ascii="Garamond" w:hAnsi="Garamond"/>
        </w:rPr>
      </w:pPr>
    </w:p>
    <w:p w14:paraId="45AA09CC" w14:textId="2746A9E8" w:rsidR="00C53DA0" w:rsidRDefault="00C53DA0" w:rsidP="00C53DA0">
      <w:pPr>
        <w:rPr>
          <w:rFonts w:ascii="Garamond" w:hAnsi="Garamond"/>
        </w:rPr>
      </w:pPr>
    </w:p>
    <w:p w14:paraId="4F8F3C36" w14:textId="228F1605" w:rsidR="00C53DA0" w:rsidRDefault="00C53DA0" w:rsidP="00C53DA0">
      <w:pPr>
        <w:tabs>
          <w:tab w:val="left" w:pos="1131"/>
        </w:tabs>
        <w:rPr>
          <w:rFonts w:ascii="Garamond" w:hAnsi="Garamond"/>
        </w:rPr>
      </w:pPr>
    </w:p>
    <w:p w14:paraId="664C82F9" w14:textId="427273BA" w:rsidR="004C7BA8" w:rsidRDefault="004C7BA8" w:rsidP="00C53DA0">
      <w:pPr>
        <w:tabs>
          <w:tab w:val="left" w:pos="1131"/>
        </w:tabs>
        <w:rPr>
          <w:rFonts w:ascii="Garamond" w:hAnsi="Garamond"/>
        </w:rPr>
      </w:pPr>
      <w:r w:rsidRPr="00C53DA0">
        <w:rPr>
          <w:rFonts w:ascii="Garamond" w:hAnsi="Garamond"/>
        </w:rPr>
        <w:drawing>
          <wp:anchor distT="0" distB="0" distL="114300" distR="114300" simplePos="0" relativeHeight="251659264" behindDoc="0" locked="0" layoutInCell="1" allowOverlap="1" wp14:anchorId="41D0DD27" wp14:editId="5E88E3C1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2807335" cy="1737360"/>
            <wp:effectExtent l="0" t="0" r="0" b="2540"/>
            <wp:wrapSquare wrapText="bothSides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B3910" w14:textId="3686588B" w:rsidR="00225BAA" w:rsidRDefault="00C53DA0" w:rsidP="00C53DA0">
      <w:pPr>
        <w:tabs>
          <w:tab w:val="left" w:pos="1131"/>
        </w:tabs>
        <w:rPr>
          <w:rFonts w:ascii="Garamond" w:hAnsi="Garamond"/>
          <w:bCs/>
          <w:noProof/>
        </w:rPr>
      </w:pPr>
      <w:r w:rsidRPr="00D5247E">
        <w:rPr>
          <w:rFonts w:ascii="Garamond" w:hAnsi="Garamond"/>
          <w:b/>
          <w:noProof/>
        </w:rPr>
        <w:t xml:space="preserve">Figure </w:t>
      </w:r>
      <w:r>
        <w:rPr>
          <w:rFonts w:ascii="Garamond" w:hAnsi="Garamond"/>
          <w:b/>
          <w:noProof/>
        </w:rPr>
        <w:t>4</w:t>
      </w:r>
      <w:r w:rsidRPr="00D5247E">
        <w:rPr>
          <w:rFonts w:ascii="Garamond" w:hAnsi="Garamond"/>
          <w:b/>
          <w:noProof/>
        </w:rPr>
        <w:t>.</w:t>
      </w:r>
      <w:r>
        <w:rPr>
          <w:rFonts w:ascii="Garamond" w:hAnsi="Garamond"/>
          <w:bCs/>
          <w:noProof/>
        </w:rPr>
        <w:t xml:space="preserve"> </w:t>
      </w:r>
      <w:r>
        <w:rPr>
          <w:rFonts w:ascii="Garamond" w:hAnsi="Garamond"/>
          <w:bCs/>
          <w:noProof/>
        </w:rPr>
        <w:t>The</w:t>
      </w:r>
      <w:r w:rsidRPr="00D5247E">
        <w:rPr>
          <w:rFonts w:ascii="Garamond" w:hAnsi="Garamond"/>
          <w:bCs/>
          <w:noProof/>
        </w:rPr>
        <w:t xml:space="preserve"> </w:t>
      </w:r>
      <w:r>
        <w:rPr>
          <w:rFonts w:ascii="Garamond" w:hAnsi="Garamond"/>
          <w:bCs/>
          <w:noProof/>
        </w:rPr>
        <w:t xml:space="preserve">mean score </w:t>
      </w:r>
      <w:r w:rsidRPr="00D5247E">
        <w:rPr>
          <w:rFonts w:ascii="Garamond" w:hAnsi="Garamond"/>
          <w:bCs/>
          <w:noProof/>
        </w:rPr>
        <w:t>in the</w:t>
      </w:r>
      <w:r>
        <w:rPr>
          <w:rFonts w:ascii="Garamond" w:hAnsi="Garamond"/>
          <w:bCs/>
          <w:noProof/>
        </w:rPr>
        <w:t xml:space="preserve"> 8-10</w:t>
      </w:r>
      <w:r>
        <w:rPr>
          <w:rFonts w:ascii="Garamond" w:hAnsi="Garamond"/>
          <w:bCs/>
          <w:noProof/>
        </w:rPr>
        <w:t xml:space="preserve"> group </w:t>
      </w:r>
      <w:r w:rsidRPr="00D5247E">
        <w:rPr>
          <w:rFonts w:ascii="Garamond" w:hAnsi="Garamond"/>
          <w:bCs/>
          <w:noProof/>
        </w:rPr>
        <w:t>was significantly greater than in the</w:t>
      </w:r>
      <w:r>
        <w:rPr>
          <w:rFonts w:ascii="Garamond" w:hAnsi="Garamond"/>
          <w:bCs/>
          <w:noProof/>
        </w:rPr>
        <w:t xml:space="preserve"> </w:t>
      </w:r>
      <w:r>
        <w:rPr>
          <w:rFonts w:ascii="Garamond" w:hAnsi="Garamond"/>
          <w:bCs/>
          <w:noProof/>
        </w:rPr>
        <w:t>11-15</w:t>
      </w:r>
      <w:r>
        <w:rPr>
          <w:rFonts w:ascii="Garamond" w:hAnsi="Garamond"/>
          <w:bCs/>
          <w:noProof/>
        </w:rPr>
        <w:t xml:space="preserve"> group</w:t>
      </w:r>
      <w:r w:rsidR="00FF53C9">
        <w:rPr>
          <w:rFonts w:ascii="Garamond" w:hAnsi="Garamond"/>
          <w:bCs/>
          <w:noProof/>
        </w:rPr>
        <w:t>.</w:t>
      </w:r>
    </w:p>
    <w:p w14:paraId="28856DC3" w14:textId="06D16CC5" w:rsidR="004C7BA8" w:rsidRDefault="004C7BA8" w:rsidP="00C53DA0">
      <w:pPr>
        <w:tabs>
          <w:tab w:val="left" w:pos="1131"/>
        </w:tabs>
        <w:rPr>
          <w:rFonts w:ascii="Garamond" w:hAnsi="Garamond"/>
        </w:rPr>
      </w:pPr>
    </w:p>
    <w:p w14:paraId="179FFEDD" w14:textId="77777777" w:rsidR="004C7BA8" w:rsidRDefault="004C7BA8" w:rsidP="00C53DA0">
      <w:pPr>
        <w:tabs>
          <w:tab w:val="left" w:pos="1131"/>
        </w:tabs>
        <w:rPr>
          <w:rFonts w:ascii="Garamond" w:hAnsi="Garamond"/>
        </w:rPr>
      </w:pPr>
    </w:p>
    <w:p w14:paraId="64017B5E" w14:textId="77777777" w:rsidR="00AE7FE7" w:rsidRPr="0063364A" w:rsidRDefault="00C53DA0" w:rsidP="0063364A">
      <w:pPr>
        <w:tabs>
          <w:tab w:val="left" w:pos="1131"/>
        </w:tabs>
        <w:rPr>
          <w:rFonts w:ascii="Garamond" w:hAnsi="Garamond"/>
        </w:rPr>
      </w:pPr>
      <w:r w:rsidRPr="00C53DA0">
        <w:rPr>
          <w:rFonts w:ascii="Garamond" w:hAnsi="Garamond"/>
        </w:rPr>
        <w:lastRenderedPageBreak/>
        <w:drawing>
          <wp:anchor distT="0" distB="0" distL="114300" distR="114300" simplePos="0" relativeHeight="251661312" behindDoc="0" locked="0" layoutInCell="1" allowOverlap="1" wp14:anchorId="02D9C2D5" wp14:editId="30ED96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11145" cy="1739265"/>
            <wp:effectExtent l="0" t="0" r="0" b="635"/>
            <wp:wrapSquare wrapText="bothSides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47E">
        <w:rPr>
          <w:rFonts w:ascii="Garamond" w:hAnsi="Garamond"/>
          <w:b/>
          <w:noProof/>
        </w:rPr>
        <w:t xml:space="preserve">Figure </w:t>
      </w:r>
      <w:r>
        <w:rPr>
          <w:rFonts w:ascii="Garamond" w:hAnsi="Garamond"/>
          <w:b/>
          <w:noProof/>
        </w:rPr>
        <w:t>5</w:t>
      </w:r>
      <w:r w:rsidRPr="00D5247E">
        <w:rPr>
          <w:rFonts w:ascii="Garamond" w:hAnsi="Garamond"/>
          <w:b/>
          <w:noProof/>
        </w:rPr>
        <w:t>.</w:t>
      </w:r>
      <w:r>
        <w:rPr>
          <w:rFonts w:ascii="Garamond" w:hAnsi="Garamond"/>
          <w:bCs/>
          <w:noProof/>
        </w:rPr>
        <w:t xml:space="preserve"> </w:t>
      </w:r>
      <w:r>
        <w:rPr>
          <w:rFonts w:ascii="Garamond" w:hAnsi="Garamond"/>
          <w:bCs/>
          <w:noProof/>
        </w:rPr>
        <w:t>The</w:t>
      </w:r>
      <w:r w:rsidRPr="00D5247E">
        <w:rPr>
          <w:rFonts w:ascii="Garamond" w:hAnsi="Garamond"/>
          <w:bCs/>
          <w:noProof/>
        </w:rPr>
        <w:t xml:space="preserve"> </w:t>
      </w:r>
      <w:r>
        <w:rPr>
          <w:rFonts w:ascii="Garamond" w:hAnsi="Garamond"/>
          <w:bCs/>
          <w:noProof/>
        </w:rPr>
        <w:t xml:space="preserve">mean score </w:t>
      </w:r>
      <w:r w:rsidRPr="00D5247E">
        <w:rPr>
          <w:rFonts w:ascii="Garamond" w:hAnsi="Garamond"/>
          <w:bCs/>
          <w:noProof/>
        </w:rPr>
        <w:t xml:space="preserve">in the </w:t>
      </w:r>
      <w:r>
        <w:rPr>
          <w:rFonts w:ascii="Garamond" w:hAnsi="Garamond"/>
          <w:bCs/>
          <w:noProof/>
        </w:rPr>
        <w:t xml:space="preserve">11-15 </w:t>
      </w:r>
      <w:r>
        <w:rPr>
          <w:rFonts w:ascii="Garamond" w:hAnsi="Garamond"/>
          <w:bCs/>
          <w:noProof/>
        </w:rPr>
        <w:t xml:space="preserve">group </w:t>
      </w:r>
      <w:r w:rsidRPr="00D5247E">
        <w:rPr>
          <w:rFonts w:ascii="Garamond" w:hAnsi="Garamond"/>
          <w:bCs/>
          <w:noProof/>
        </w:rPr>
        <w:t>was significantly greater than in the</w:t>
      </w:r>
      <w:r>
        <w:rPr>
          <w:rFonts w:ascii="Garamond" w:hAnsi="Garamond"/>
          <w:bCs/>
          <w:noProof/>
        </w:rPr>
        <w:t xml:space="preserve"> </w:t>
      </w:r>
      <w:r>
        <w:rPr>
          <w:rFonts w:ascii="Garamond" w:hAnsi="Garamond"/>
          <w:bCs/>
          <w:noProof/>
        </w:rPr>
        <w:t>17-39</w:t>
      </w:r>
      <w:r>
        <w:rPr>
          <w:rFonts w:ascii="Garamond" w:hAnsi="Garamond"/>
          <w:bCs/>
          <w:noProof/>
        </w:rPr>
        <w:t xml:space="preserve"> group</w:t>
      </w:r>
      <w:r w:rsidR="00FF53C9">
        <w:rPr>
          <w:rFonts w:ascii="Garamond" w:hAnsi="Garamond"/>
          <w:bCs/>
          <w:noProof/>
        </w:rPr>
        <w:t>.</w:t>
      </w:r>
    </w:p>
    <w:p w14:paraId="62368069" w14:textId="4379E10B" w:rsidR="00C53DA0" w:rsidRPr="00AE7FE7" w:rsidRDefault="00C53DA0">
      <w:pPr>
        <w:rPr>
          <w:lang w:val="en-FR"/>
        </w:rPr>
      </w:pPr>
    </w:p>
    <w:sectPr w:rsidR="00C53DA0" w:rsidRPr="00AE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0E"/>
    <w:rsid w:val="000F6CC5"/>
    <w:rsid w:val="00196357"/>
    <w:rsid w:val="00225BAA"/>
    <w:rsid w:val="002A116F"/>
    <w:rsid w:val="003B689F"/>
    <w:rsid w:val="004C7BA8"/>
    <w:rsid w:val="004D13C9"/>
    <w:rsid w:val="0063364A"/>
    <w:rsid w:val="00892F23"/>
    <w:rsid w:val="008D2978"/>
    <w:rsid w:val="008D79C1"/>
    <w:rsid w:val="009428A8"/>
    <w:rsid w:val="00980491"/>
    <w:rsid w:val="0099405C"/>
    <w:rsid w:val="00AE7FE7"/>
    <w:rsid w:val="00BE42DD"/>
    <w:rsid w:val="00C53DA0"/>
    <w:rsid w:val="00D67963"/>
    <w:rsid w:val="00D81175"/>
    <w:rsid w:val="00E96B21"/>
    <w:rsid w:val="00F2620E"/>
    <w:rsid w:val="00F74E5B"/>
    <w:rsid w:val="00F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E5196"/>
  <w15:chartTrackingRefBased/>
  <w15:docId w15:val="{1272E7FF-B03A-E143-9A33-B3AC0702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20E"/>
    <w:rPr>
      <w:rFonts w:ascii="Times New Roman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2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0E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96B21"/>
    <w:pPr>
      <w:spacing w:before="100" w:beforeAutospacing="1" w:after="100" w:afterAutospacing="1"/>
    </w:pPr>
    <w:rPr>
      <w:rFonts w:eastAsia="Times New Roman"/>
      <w:lang w:val="en-F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Smith19,M (ug)</dc:creator>
  <cp:keywords/>
  <dc:description/>
  <cp:lastModifiedBy>Smith19,M (ug)</cp:lastModifiedBy>
  <cp:revision>15</cp:revision>
  <dcterms:created xsi:type="dcterms:W3CDTF">2023-02-07T23:40:00Z</dcterms:created>
  <dcterms:modified xsi:type="dcterms:W3CDTF">2023-02-08T04:03:00Z</dcterms:modified>
</cp:coreProperties>
</file>