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7217" w14:textId="77777777" w:rsidR="000B27C9" w:rsidRDefault="00000000">
      <w:pPr>
        <w:pStyle w:val="Heading2"/>
        <w:spacing w:before="0" w:after="200"/>
      </w:pPr>
      <w:r>
        <w:t>4.3  Bidirectional LSTM (BiLSTM)</w:t>
      </w:r>
    </w:p>
    <w:p w14:paraId="67DDCB06" w14:textId="77777777" w:rsidR="000B27C9" w:rsidRDefault="00000000">
      <w:pPr>
        <w:pStyle w:val="Heading3"/>
      </w:pPr>
      <w:r>
        <w:t>4.3.1  Motivation et positionnement dans le pipeline</w:t>
      </w:r>
    </w:p>
    <w:p w14:paraId="42C289F5" w14:textId="77777777" w:rsidR="000B27C9" w:rsidRDefault="00000000">
      <w:pPr>
        <w:spacing w:before="80" w:after="80" w:line="276" w:lineRule="auto"/>
        <w:jc w:val="both"/>
      </w:pPr>
      <w:r>
        <w:t xml:space="preserve">Les méthodes baseline implémentées dans ce projet — la distance d'édition sur séquences symboliques et le Dynamic Time Warping — reposent sur une représentation explicite de la trajectoire et sur une mesure de similarité non paramétrique. Bien qu'efficaces, ces approches présentent deux limitations fondamentales. D'une part, elles ne </w:t>
      </w:r>
      <w:r>
        <w:rPr>
          <w:i/>
          <w:iCs/>
        </w:rPr>
        <w:t>apprennent</w:t>
      </w:r>
      <w:r>
        <w:t xml:space="preserve"> aucune représentation des données : la mesure de distance est fixée a priori et ne s'adapte pas aux particularités des gestes ni à la variabilité inter-utilisateurs. D'autre part, leur complexité à l'inférence est quadratique en la taille de l'ensemble d'entraînement, ce qui limite leur passage à l'échelle.</w:t>
      </w:r>
    </w:p>
    <w:p w14:paraId="3C33619B" w14:textId="77777777" w:rsidR="000B27C9" w:rsidRDefault="000B27C9">
      <w:pPr>
        <w:spacing w:before="60" w:after="60"/>
      </w:pPr>
    </w:p>
    <w:p w14:paraId="1A345CD7" w14:textId="77777777" w:rsidR="000B27C9" w:rsidRDefault="00000000">
      <w:pPr>
        <w:spacing w:before="80" w:after="80" w:line="276" w:lineRule="auto"/>
        <w:jc w:val="both"/>
      </w:pPr>
      <w:r>
        <w:t>Le réseau de neurones récurrent bidirectionnel à mémoire longue et courte durée (</w:t>
      </w:r>
      <w:r>
        <w:rPr>
          <w:b/>
          <w:bCs/>
        </w:rPr>
        <w:t>Bidirectional Long Short-Term Memory</w:t>
      </w:r>
      <w:r>
        <w:t xml:space="preserve">, BiLSTM) constitue une alternative de </w:t>
      </w:r>
      <w:r>
        <w:rPr>
          <w:i/>
          <w:iCs/>
        </w:rPr>
        <w:t>bout en bout</w:t>
      </w:r>
      <w:r>
        <w:t xml:space="preserve"> (end-to-end) qui surmonte ces deux limitations. Il apprend directement, à partir des coordonnées spatiales brutes </w:t>
      </w:r>
      <w:r>
        <w:rPr>
          <w:rFonts w:ascii="Courier New" w:eastAsia="Courier New" w:hAnsi="Courier New" w:cs="Courier New"/>
          <w:sz w:val="20"/>
          <w:szCs w:val="20"/>
        </w:rPr>
        <w:t>(x, y, z)</w:t>
      </w:r>
      <w:r>
        <w:t>, une représentation latente optimisée pour discriminer les 10 classes de gestes. Une fois entraîné, la complexité d'inférence est linéaire en la longueur de la séquence, indépendamment de la taille de l'ensemble d'entraînement.</w:t>
      </w:r>
    </w:p>
    <w:p w14:paraId="65DA5C4D" w14:textId="77777777" w:rsidR="000B27C9" w:rsidRDefault="000B27C9">
      <w:pPr>
        <w:spacing w:before="60" w:after="60"/>
      </w:pPr>
    </w:p>
    <w:p w14:paraId="0513D8A8" w14:textId="77777777" w:rsidR="000B27C9" w:rsidRDefault="00000000">
      <w:pPr>
        <w:spacing w:before="80" w:after="80" w:line="276" w:lineRule="auto"/>
        <w:jc w:val="both"/>
      </w:pPr>
      <w:r>
        <w:t xml:space="preserve">Le choix du BiLSTM sur un LSTM unidirectionnel standard est motivé par la nature des données : contrairement à la reconnaissance vocale en temps réel — où seul le passé est disponible — la trajectoire complète d'un geste est enregistrée avant classification. Il est donc possible, et bénéfique, de </w:t>
      </w:r>
      <w:r>
        <w:rPr>
          <w:i/>
          <w:iCs/>
        </w:rPr>
        <w:t>lire la séquence dans les deux sens</w:t>
      </w:r>
      <w:r>
        <w:t>. Le début d'un geste prend souvent son sens à la lumière de sa fin (par exemple, une courbe ascendante au départ peut correspondre à plusieurs chiffres selon la suite du mouvement). Le BiLSTM exploite cette information temporelle dans les deux directions.</w:t>
      </w:r>
    </w:p>
    <w:p w14:paraId="656B60F9" w14:textId="77777777" w:rsidR="000B27C9" w:rsidRDefault="000B27C9">
      <w:pPr>
        <w:spacing w:before="60" w:after="60"/>
      </w:pPr>
    </w:p>
    <w:p w14:paraId="63741648" w14:textId="77777777" w:rsidR="000B27C9" w:rsidRDefault="00000000">
      <w:pPr>
        <w:pStyle w:val="Heading3"/>
      </w:pPr>
      <w:r>
        <w:t>4.3.2  Architecture et formulation mathématique</w:t>
      </w:r>
    </w:p>
    <w:p w14:paraId="7787C296" w14:textId="77777777" w:rsidR="000B27C9" w:rsidRDefault="00000000">
      <w:pPr>
        <w:spacing w:before="80" w:after="80" w:line="276" w:lineRule="auto"/>
        <w:jc w:val="both"/>
      </w:pPr>
      <w:r>
        <w:rPr>
          <w:b/>
          <w:bCs/>
        </w:rPr>
        <w:t>Cellule LSTM — les équations des portes</w:t>
      </w:r>
    </w:p>
    <w:p w14:paraId="2E40ED0E" w14:textId="77777777" w:rsidR="000B27C9" w:rsidRDefault="000B27C9">
      <w:pPr>
        <w:spacing w:before="60" w:after="60"/>
      </w:pPr>
    </w:p>
    <w:p w14:paraId="0BD2EF9B" w14:textId="77777777" w:rsidR="000B27C9" w:rsidRDefault="00000000">
      <w:pPr>
        <w:spacing w:before="80" w:after="80" w:line="276" w:lineRule="auto"/>
        <w:jc w:val="both"/>
      </w:pPr>
      <w:r>
        <w:t xml:space="preserve">À chaque pas de temps </w:t>
      </w:r>
      <w:r>
        <w:rPr>
          <w:rFonts w:ascii="Courier New" w:eastAsia="Courier New" w:hAnsi="Courier New" w:cs="Courier New"/>
          <w:sz w:val="20"/>
          <w:szCs w:val="20"/>
        </w:rPr>
        <w:t>t</w:t>
      </w:r>
      <w:r>
        <w:t xml:space="preserve">, la cellule LSTM reçoit le vecteur d'entrée </w:t>
      </w:r>
      <w:r>
        <w:rPr>
          <w:rFonts w:ascii="Courier New" w:eastAsia="Courier New" w:hAnsi="Courier New" w:cs="Courier New"/>
          <w:sz w:val="20"/>
          <w:szCs w:val="20"/>
        </w:rPr>
        <w:t>x_t ∈ R^d</w:t>
      </w:r>
      <w:r>
        <w:t xml:space="preserve"> (avec </w:t>
      </w:r>
      <w:r>
        <w:rPr>
          <w:rFonts w:ascii="Courier New" w:eastAsia="Courier New" w:hAnsi="Courier New" w:cs="Courier New"/>
          <w:sz w:val="20"/>
          <w:szCs w:val="20"/>
        </w:rPr>
        <w:t>d = 3</w:t>
      </w:r>
      <w:r>
        <w:t xml:space="preserve"> dans notre cas) et l'état caché précédent </w:t>
      </w:r>
      <w:r>
        <w:rPr>
          <w:rFonts w:ascii="Courier New" w:eastAsia="Courier New" w:hAnsi="Courier New" w:cs="Courier New"/>
          <w:sz w:val="20"/>
          <w:szCs w:val="20"/>
        </w:rPr>
        <w:t>h_{t-1} ∈ R^u</w:t>
      </w:r>
      <w:r>
        <w:t xml:space="preserve">, où </w:t>
      </w:r>
      <w:r>
        <w:rPr>
          <w:rFonts w:ascii="Courier New" w:eastAsia="Courier New" w:hAnsi="Courier New" w:cs="Courier New"/>
          <w:sz w:val="20"/>
          <w:szCs w:val="20"/>
        </w:rPr>
        <w:t>u</w:t>
      </w:r>
      <w:r>
        <w:t xml:space="preserve"> est le nombre d'unités cachées. Elle calcule les quatre quantités suivantes :</w:t>
      </w:r>
    </w:p>
    <w:p w14:paraId="363EC5A8" w14:textId="77777777" w:rsidR="000B27C9" w:rsidRDefault="000B27C9">
      <w:pPr>
        <w:spacing w:before="60" w:after="60"/>
      </w:pPr>
    </w:p>
    <w:p w14:paraId="2131884A" w14:textId="77777777" w:rsidR="000B27C9" w:rsidRDefault="00000000">
      <w:pPr>
        <w:spacing w:before="80" w:after="80" w:line="276" w:lineRule="auto"/>
        <w:jc w:val="both"/>
      </w:pPr>
      <w:r>
        <w:rPr>
          <w:b/>
          <w:bCs/>
        </w:rPr>
        <w:t>Porte d'oubli</w:t>
      </w:r>
      <w:r>
        <w:t xml:space="preserve">  — détermine quelle fraction de la mémoire à long terme doit être effacée :</w:t>
      </w:r>
    </w:p>
    <w:p w14:paraId="04463296" w14:textId="77777777" w:rsidR="000B27C9" w:rsidRDefault="00000000">
      <w:pPr>
        <w:spacing w:before="140" w:after="140"/>
        <w:jc w:val="center"/>
      </w:pPr>
      <w:r>
        <w:rPr>
          <w:rFonts w:ascii="Courier New" w:eastAsia="Courier New" w:hAnsi="Courier New" w:cs="Courier New"/>
        </w:rPr>
        <w:t>f_t  =  σ( W_f · x_t  +  U_f · h_{t-1}  +  b_f )</w:t>
      </w:r>
    </w:p>
    <w:p w14:paraId="140F64B5" w14:textId="77777777" w:rsidR="000B27C9" w:rsidRDefault="00000000">
      <w:pPr>
        <w:spacing w:before="80" w:after="80" w:line="276" w:lineRule="auto"/>
        <w:jc w:val="both"/>
      </w:pPr>
      <w:r>
        <w:rPr>
          <w:b/>
          <w:bCs/>
        </w:rPr>
        <w:t>Porte d'entrée</w:t>
      </w:r>
      <w:r>
        <w:t xml:space="preserve">  — détermine quelle portion de la nouvelle information est mémorisée :</w:t>
      </w:r>
    </w:p>
    <w:p w14:paraId="2D9740C8" w14:textId="77777777" w:rsidR="000B27C9" w:rsidRDefault="00000000">
      <w:pPr>
        <w:spacing w:before="140" w:after="140"/>
        <w:jc w:val="center"/>
      </w:pPr>
      <w:r>
        <w:rPr>
          <w:rFonts w:ascii="Courier New" w:eastAsia="Courier New" w:hAnsi="Courier New" w:cs="Courier New"/>
        </w:rPr>
        <w:t>i_t  =  σ( W_i · x_t  +  U_i · h_{t-1}  +  b_i )</w:t>
      </w:r>
    </w:p>
    <w:p w14:paraId="1E9D0802" w14:textId="77777777" w:rsidR="000B27C9" w:rsidRDefault="00000000">
      <w:pPr>
        <w:spacing w:before="80" w:after="80" w:line="276" w:lineRule="auto"/>
        <w:jc w:val="both"/>
      </w:pPr>
      <w:r>
        <w:rPr>
          <w:b/>
          <w:bCs/>
        </w:rPr>
        <w:t>Candidat cellule</w:t>
      </w:r>
      <w:r>
        <w:t xml:space="preserve">  — nouvelle information proposée à la mémoire :</w:t>
      </w:r>
    </w:p>
    <w:p w14:paraId="0948F5EB" w14:textId="77777777" w:rsidR="000B27C9" w:rsidRDefault="00000000">
      <w:pPr>
        <w:spacing w:before="140" w:after="140"/>
        <w:jc w:val="center"/>
      </w:pPr>
      <w:r>
        <w:rPr>
          <w:rFonts w:ascii="Courier New" w:eastAsia="Courier New" w:hAnsi="Courier New" w:cs="Courier New"/>
        </w:rPr>
        <w:t>c̃_t  =  tanh( W_c · x_t  +  U_c · h_{t-1}  +  b_c )</w:t>
      </w:r>
    </w:p>
    <w:p w14:paraId="4F0EECE5" w14:textId="77777777" w:rsidR="000B27C9" w:rsidRDefault="00000000">
      <w:pPr>
        <w:spacing w:before="80" w:after="80" w:line="276" w:lineRule="auto"/>
        <w:jc w:val="both"/>
      </w:pPr>
      <w:r>
        <w:t xml:space="preserve">La </w:t>
      </w:r>
      <w:r>
        <w:rPr>
          <w:b/>
          <w:bCs/>
        </w:rPr>
        <w:t>cellule mémoire</w:t>
      </w:r>
      <w:r>
        <w:t xml:space="preserve"> est ensuite mise à jour par une combinaison de l'oubli et de l'ajout (</w:t>
      </w:r>
      <w:r>
        <w:rPr>
          <w:rFonts w:ascii="Courier New" w:eastAsia="Courier New" w:hAnsi="Courier New" w:cs="Courier New"/>
          <w:sz w:val="20"/>
          <w:szCs w:val="20"/>
        </w:rPr>
        <w:t>⊙</w:t>
      </w:r>
      <w:r>
        <w:t xml:space="preserve"> désigne le produit élément par élément de Hadamard) :</w:t>
      </w:r>
    </w:p>
    <w:p w14:paraId="0AA2F3B2" w14:textId="77777777" w:rsidR="000B27C9" w:rsidRDefault="00000000">
      <w:pPr>
        <w:spacing w:before="140" w:after="140"/>
        <w:jc w:val="center"/>
      </w:pPr>
      <w:r>
        <w:rPr>
          <w:rFonts w:ascii="Courier New" w:eastAsia="Courier New" w:hAnsi="Courier New" w:cs="Courier New"/>
        </w:rPr>
        <w:lastRenderedPageBreak/>
        <w:t>c_t  =  f_t ⊙ c_{t-1}  +  i_t ⊙ c̃_t</w:t>
      </w:r>
    </w:p>
    <w:p w14:paraId="286BB9B9" w14:textId="77777777" w:rsidR="000B27C9" w:rsidRDefault="00000000">
      <w:pPr>
        <w:spacing w:before="80" w:after="80" w:line="276" w:lineRule="auto"/>
        <w:jc w:val="both"/>
      </w:pPr>
      <w:r>
        <w:rPr>
          <w:b/>
          <w:bCs/>
        </w:rPr>
        <w:t>Porte de sortie</w:t>
      </w:r>
      <w:r>
        <w:t xml:space="preserve">  — filtre la mémoire avant de l'exposer au réseau :</w:t>
      </w:r>
    </w:p>
    <w:p w14:paraId="47C0C1AD" w14:textId="77777777" w:rsidR="000B27C9" w:rsidRDefault="00000000">
      <w:pPr>
        <w:spacing w:before="140" w:after="140"/>
        <w:jc w:val="center"/>
      </w:pPr>
      <w:r>
        <w:rPr>
          <w:rFonts w:ascii="Courier New" w:eastAsia="Courier New" w:hAnsi="Courier New" w:cs="Courier New"/>
        </w:rPr>
        <w:t>o_t  =  σ( W_o · x_t  +  U_o · h_{t-1}  +  b_o )</w:t>
      </w:r>
    </w:p>
    <w:p w14:paraId="48D2F106" w14:textId="77777777" w:rsidR="000B27C9" w:rsidRDefault="00000000">
      <w:pPr>
        <w:spacing w:before="80" w:after="80" w:line="276" w:lineRule="auto"/>
        <w:jc w:val="both"/>
      </w:pPr>
      <w:r>
        <w:rPr>
          <w:b/>
          <w:bCs/>
        </w:rPr>
        <w:t>État caché</w:t>
      </w:r>
      <w:r>
        <w:t xml:space="preserve">  — sortie de la cellule à ce pas de temps :</w:t>
      </w:r>
    </w:p>
    <w:p w14:paraId="5F755196" w14:textId="77777777" w:rsidR="000B27C9" w:rsidRDefault="00000000">
      <w:pPr>
        <w:spacing w:before="140" w:after="140"/>
        <w:jc w:val="center"/>
      </w:pPr>
      <w:r>
        <w:rPr>
          <w:rFonts w:ascii="Courier New" w:eastAsia="Courier New" w:hAnsi="Courier New" w:cs="Courier New"/>
        </w:rPr>
        <w:t>h_t  =  o_t ⊙ tanh( c_t )</w:t>
      </w:r>
    </w:p>
    <w:p w14:paraId="32C7E29A" w14:textId="77777777" w:rsidR="000B27C9" w:rsidRDefault="000B27C9">
      <w:pPr>
        <w:spacing w:before="60" w:after="60"/>
      </w:pPr>
    </w:p>
    <w:p w14:paraId="394CF221" w14:textId="77777777" w:rsidR="000B27C9" w:rsidRDefault="00000000">
      <w:pPr>
        <w:spacing w:before="80" w:after="80" w:line="276" w:lineRule="auto"/>
        <w:jc w:val="both"/>
      </w:pPr>
      <w:r>
        <w:t xml:space="preserve">Les fonctions sigmoïde </w:t>
      </w:r>
      <w:r>
        <w:rPr>
          <w:rFonts w:ascii="Courier New" w:eastAsia="Courier New" w:hAnsi="Courier New" w:cs="Courier New"/>
          <w:sz w:val="20"/>
          <w:szCs w:val="20"/>
        </w:rPr>
        <w:t>σ(·) ∈ ]0,1[</w:t>
      </w:r>
      <w:r>
        <w:t xml:space="preserve"> jouent le rôle de </w:t>
      </w:r>
      <w:r>
        <w:rPr>
          <w:i/>
          <w:iCs/>
        </w:rPr>
        <w:t>vannes différentiables</w:t>
      </w:r>
      <w:r>
        <w:t xml:space="preserve"> : une valeur proche de 0 ferme la porte (aucune information ne passe), une valeur proche de 1 l'ouvre complètement. La cellule mémoire </w:t>
      </w:r>
      <w:r>
        <w:rPr>
          <w:rFonts w:ascii="Courier New" w:eastAsia="Courier New" w:hAnsi="Courier New" w:cs="Courier New"/>
          <w:sz w:val="20"/>
          <w:szCs w:val="20"/>
        </w:rPr>
        <w:t>c_t</w:t>
      </w:r>
      <w:r>
        <w:t xml:space="preserve"> constitue le </w:t>
      </w:r>
      <w:r>
        <w:rPr>
          <w:i/>
          <w:iCs/>
        </w:rPr>
        <w:t>gradient highway</w:t>
      </w:r>
      <w:r>
        <w:t xml:space="preserve"> du LSTM : lors de la rétropropagation, le gradient peut traverser de nombreux pas de temps sans être atténué, ce qui résout le problème du </w:t>
      </w:r>
      <w:r>
        <w:rPr>
          <w:i/>
          <w:iCs/>
        </w:rPr>
        <w:t>gradient évanescent</w:t>
      </w:r>
      <w:r>
        <w:t xml:space="preserve"> caractéristique des RNN simples.</w:t>
      </w:r>
    </w:p>
    <w:p w14:paraId="57F1C111" w14:textId="77777777" w:rsidR="000B27C9" w:rsidRDefault="000B27C9">
      <w:pPr>
        <w:spacing w:before="60" w:after="60"/>
      </w:pPr>
    </w:p>
    <w:p w14:paraId="70888449" w14:textId="77777777" w:rsidR="000B27C9" w:rsidRDefault="00000000">
      <w:pPr>
        <w:spacing w:before="80" w:after="80" w:line="276" w:lineRule="auto"/>
        <w:jc w:val="both"/>
      </w:pPr>
      <w:r>
        <w:rPr>
          <w:b/>
          <w:bCs/>
        </w:rPr>
        <w:t>Extension bidirectionnelle</w:t>
      </w:r>
    </w:p>
    <w:p w14:paraId="4047DFED" w14:textId="77777777" w:rsidR="000B27C9" w:rsidRDefault="000B27C9">
      <w:pPr>
        <w:spacing w:before="60" w:after="60"/>
      </w:pPr>
    </w:p>
    <w:p w14:paraId="2066673C" w14:textId="77777777" w:rsidR="000B27C9" w:rsidRDefault="00000000">
      <w:pPr>
        <w:spacing w:before="80" w:after="80" w:line="276" w:lineRule="auto"/>
        <w:jc w:val="both"/>
      </w:pPr>
      <w:r>
        <w:t>Le BiLSTM fait tourner deux cellules LSTM indépendantes en parallèle : l'une parcourt la séquence dans l'ordre chronologique (</w:t>
      </w:r>
      <w:r>
        <w:rPr>
          <w:i/>
          <w:iCs/>
        </w:rPr>
        <w:t>forward</w:t>
      </w:r>
      <w:r>
        <w:t>), l'autre dans l'ordre inverse (</w:t>
      </w:r>
      <w:r>
        <w:rPr>
          <w:i/>
          <w:iCs/>
        </w:rPr>
        <w:t>backward</w:t>
      </w:r>
      <w:r>
        <w:t>). Les états cachés produits à chaque pas de temps sont concaténés :</w:t>
      </w:r>
    </w:p>
    <w:p w14:paraId="13931E00" w14:textId="77777777" w:rsidR="000B27C9" w:rsidRDefault="00000000">
      <w:pPr>
        <w:spacing w:before="140" w:after="140"/>
        <w:jc w:val="center"/>
      </w:pPr>
      <w:r>
        <w:rPr>
          <w:rFonts w:ascii="Courier New" w:eastAsia="Courier New" w:hAnsi="Courier New" w:cs="Courier New"/>
        </w:rPr>
        <w:t>h_t^→  =  LSTM_→( x_t ,  h_{t-1}^→ )</w:t>
      </w:r>
    </w:p>
    <w:p w14:paraId="0DF29821" w14:textId="77777777" w:rsidR="000B27C9" w:rsidRDefault="00000000">
      <w:pPr>
        <w:spacing w:before="140" w:after="140"/>
        <w:jc w:val="center"/>
      </w:pPr>
      <w:r>
        <w:rPr>
          <w:rFonts w:ascii="Courier New" w:eastAsia="Courier New" w:hAnsi="Courier New" w:cs="Courier New"/>
        </w:rPr>
        <w:t>h_t^←  =  LSTM_←( x_t ,  h_{t+1}^← )</w:t>
      </w:r>
    </w:p>
    <w:p w14:paraId="2EC2F152" w14:textId="77777777" w:rsidR="000B27C9" w:rsidRDefault="00000000">
      <w:pPr>
        <w:spacing w:before="140" w:after="140"/>
        <w:jc w:val="center"/>
      </w:pPr>
      <w:r>
        <w:rPr>
          <w:rFonts w:ascii="Courier New" w:eastAsia="Courier New" w:hAnsi="Courier New" w:cs="Courier New"/>
        </w:rPr>
        <w:t>h_t^bi  =  [ h_t^→ ; h_t^← ]   ∈  R^{2u}</w:t>
      </w:r>
    </w:p>
    <w:p w14:paraId="07B0ADA2" w14:textId="77777777" w:rsidR="000B27C9" w:rsidRDefault="000B27C9">
      <w:pPr>
        <w:spacing w:before="60" w:after="60"/>
      </w:pPr>
    </w:p>
    <w:p w14:paraId="2001E756" w14:textId="77777777" w:rsidR="000B27C9" w:rsidRDefault="00000000">
      <w:pPr>
        <w:spacing w:before="80" w:after="80" w:line="276" w:lineRule="auto"/>
        <w:jc w:val="both"/>
      </w:pPr>
      <w:r>
        <w:t xml:space="preserve">Pour la classification, seul le vecteur final </w:t>
      </w:r>
      <w:r>
        <w:rPr>
          <w:rFonts w:ascii="Courier New" w:eastAsia="Courier New" w:hAnsi="Courier New" w:cs="Courier New"/>
          <w:sz w:val="20"/>
          <w:szCs w:val="20"/>
        </w:rPr>
        <w:t>h_T^bi</w:t>
      </w:r>
      <w:r>
        <w:t xml:space="preserve"> (après le dernier pas de temps) est transmis aux couches denses, car il encode le contexte global de l'intégralité de la séquence dans les deux directions temporelles.</w:t>
      </w:r>
    </w:p>
    <w:p w14:paraId="04148CA9" w14:textId="77777777" w:rsidR="000B27C9" w:rsidRDefault="000B27C9">
      <w:pPr>
        <w:spacing w:before="60" w:after="60"/>
      </w:pPr>
    </w:p>
    <w:p w14:paraId="2364EEA3" w14:textId="77777777" w:rsidR="000B27C9" w:rsidRDefault="00000000">
      <w:pPr>
        <w:pStyle w:val="Heading3"/>
      </w:pPr>
      <w:r>
        <w:t>4.3.3  Architecture complète du modèle</w:t>
      </w:r>
    </w:p>
    <w:p w14:paraId="7223A260" w14:textId="77777777" w:rsidR="000B27C9" w:rsidRDefault="00000000">
      <w:pPr>
        <w:spacing w:before="80" w:after="80" w:line="276" w:lineRule="auto"/>
        <w:jc w:val="both"/>
      </w:pPr>
      <w:r>
        <w:t xml:space="preserve">Le modèle complet suit la chaîne de traitement illustrée ci-dessous. L'entrée est un tenseur de forme </w:t>
      </w:r>
      <w:r>
        <w:rPr>
          <w:rFonts w:ascii="Courier New" w:eastAsia="Courier New" w:hAnsi="Courier New" w:cs="Courier New"/>
          <w:sz w:val="20"/>
          <w:szCs w:val="20"/>
        </w:rPr>
        <w:t>(N, T, 3)</w:t>
      </w:r>
      <w:r>
        <w:t xml:space="preserve">, où </w:t>
      </w:r>
      <w:r>
        <w:rPr>
          <w:rFonts w:ascii="Courier New" w:eastAsia="Courier New" w:hAnsi="Courier New" w:cs="Courier New"/>
          <w:sz w:val="20"/>
          <w:szCs w:val="20"/>
        </w:rPr>
        <w:t>N</w:t>
      </w:r>
      <w:r>
        <w:t xml:space="preserve"> est la taille du batch, </w:t>
      </w:r>
      <w:r>
        <w:rPr>
          <w:rFonts w:ascii="Courier New" w:eastAsia="Courier New" w:hAnsi="Courier New" w:cs="Courier New"/>
          <w:sz w:val="20"/>
          <w:szCs w:val="20"/>
        </w:rPr>
        <w:t>T</w:t>
      </w:r>
      <w:r>
        <w:t xml:space="preserve"> le nombre de pas de temps après rééchantillonnage, et </w:t>
      </w:r>
      <w:r>
        <w:rPr>
          <w:rFonts w:ascii="Courier New" w:eastAsia="Courier New" w:hAnsi="Courier New" w:cs="Courier New"/>
          <w:sz w:val="20"/>
          <w:szCs w:val="20"/>
        </w:rPr>
        <w:t>3</w:t>
      </w:r>
      <w:r>
        <w:t xml:space="preserve"> les coordonnées spatiales normalisées.</w:t>
      </w:r>
    </w:p>
    <w:p w14:paraId="5C1941CC" w14:textId="77777777" w:rsidR="000B27C9" w:rsidRDefault="000B27C9">
      <w:pPr>
        <w:spacing w:before="60" w:after="60"/>
      </w:pPr>
    </w:p>
    <w:p w14:paraId="4FFE11CA" w14:textId="77777777" w:rsidR="000B27C9" w:rsidRDefault="00000000">
      <w:pPr>
        <w:pStyle w:val="ListParagraph"/>
        <w:numPr>
          <w:ilvl w:val="0"/>
          <w:numId w:val="2"/>
        </w:numPr>
        <w:spacing w:before="60" w:after="60"/>
      </w:pPr>
      <w:r>
        <w:rPr>
          <w:b/>
          <w:bCs/>
        </w:rPr>
        <w:t>Rééchantillonnage</w:t>
      </w:r>
      <w:r>
        <w:t xml:space="preserve"> — interpolation linéaire de chaque trajectoire vers un nombre fixe </w:t>
      </w:r>
      <w:r>
        <w:rPr>
          <w:rFonts w:ascii="Courier New" w:eastAsia="Courier New" w:hAnsi="Courier New" w:cs="Courier New"/>
          <w:sz w:val="20"/>
          <w:szCs w:val="20"/>
        </w:rPr>
        <w:t>T</w:t>
      </w:r>
      <w:r>
        <w:t xml:space="preserve"> de pas de temps, éliminant la variabilité de longueur sans introduire de padding artificiels.</w:t>
      </w:r>
    </w:p>
    <w:p w14:paraId="60FD54B0" w14:textId="77777777" w:rsidR="000B27C9" w:rsidRDefault="00000000">
      <w:pPr>
        <w:pStyle w:val="ListParagraph"/>
        <w:numPr>
          <w:ilvl w:val="0"/>
          <w:numId w:val="2"/>
        </w:numPr>
        <w:spacing w:before="60" w:after="60"/>
      </w:pPr>
      <w:r>
        <w:rPr>
          <w:b/>
          <w:bCs/>
        </w:rPr>
        <w:t>Normalisation z-score</w:t>
      </w:r>
      <w:r>
        <w:t xml:space="preserve"> — paramètres fittés exclusivement sur le training fold, puis appliqués au train et au test, garantissant l'absence de fuite de données (</w:t>
      </w:r>
      <w:r>
        <w:rPr>
          <w:i/>
          <w:iCs/>
        </w:rPr>
        <w:t>data leakage</w:t>
      </w:r>
      <w:r>
        <w:t>).</w:t>
      </w:r>
    </w:p>
    <w:p w14:paraId="71A6C9C3" w14:textId="77777777" w:rsidR="000B27C9" w:rsidRDefault="00000000">
      <w:pPr>
        <w:pStyle w:val="ListParagraph"/>
        <w:numPr>
          <w:ilvl w:val="0"/>
          <w:numId w:val="2"/>
        </w:numPr>
        <w:spacing w:before="60" w:after="60"/>
      </w:pPr>
      <w:r>
        <w:rPr>
          <w:b/>
          <w:bCs/>
        </w:rPr>
        <w:t>Couche BiLSTM (u unités)</w:t>
      </w:r>
      <w:r>
        <w:t xml:space="preserve"> — traite la séquence dans les deux directions et produit un vecteur de taille </w:t>
      </w:r>
      <w:r>
        <w:rPr>
          <w:rFonts w:ascii="Courier New" w:eastAsia="Courier New" w:hAnsi="Courier New" w:cs="Courier New"/>
          <w:sz w:val="20"/>
          <w:szCs w:val="20"/>
        </w:rPr>
        <w:t>2u</w:t>
      </w:r>
      <w:r>
        <w:t xml:space="preserve">. Configuration : </w:t>
      </w:r>
      <w:r>
        <w:rPr>
          <w:rFonts w:ascii="Courier New" w:eastAsia="Courier New" w:hAnsi="Courier New" w:cs="Courier New"/>
          <w:sz w:val="20"/>
          <w:szCs w:val="20"/>
        </w:rPr>
        <w:t>return_sequences=False</w:t>
      </w:r>
      <w:r>
        <w:t xml:space="preserve"> pour ne conserver que l'état final.</w:t>
      </w:r>
    </w:p>
    <w:p w14:paraId="26973846" w14:textId="77777777" w:rsidR="000B27C9" w:rsidRDefault="00000000">
      <w:pPr>
        <w:pStyle w:val="ListParagraph"/>
        <w:numPr>
          <w:ilvl w:val="0"/>
          <w:numId w:val="2"/>
        </w:numPr>
        <w:spacing w:before="60" w:after="60"/>
      </w:pPr>
      <w:r>
        <w:rPr>
          <w:b/>
          <w:bCs/>
        </w:rPr>
        <w:t>Batch Normalisation</w:t>
      </w:r>
      <w:r>
        <w:t xml:space="preserve"> — normalise les activations issues du BiLSTM sur le batch courant, accélérant la convergence et agissant comme régulariseur léger sur un petit dataset de 1 000 séquences (Ioffe &amp; Szegedy, 2015).</w:t>
      </w:r>
    </w:p>
    <w:p w14:paraId="1256A7A1" w14:textId="77777777" w:rsidR="000B27C9" w:rsidRDefault="00000000">
      <w:pPr>
        <w:pStyle w:val="ListParagraph"/>
        <w:numPr>
          <w:ilvl w:val="0"/>
          <w:numId w:val="2"/>
        </w:numPr>
        <w:spacing w:before="60" w:after="60"/>
      </w:pPr>
      <w:r>
        <w:rPr>
          <w:b/>
          <w:bCs/>
        </w:rPr>
        <w:lastRenderedPageBreak/>
        <w:t>Dropout (p = 0.3)</w:t>
      </w:r>
      <w:r>
        <w:t xml:space="preserve"> — désactive aléatoirement 30 % des neurones à l'entraînement, réduisant le risque de surapprentissage.</w:t>
      </w:r>
    </w:p>
    <w:p w14:paraId="216988EF" w14:textId="77777777" w:rsidR="000B27C9" w:rsidRDefault="00000000">
      <w:pPr>
        <w:pStyle w:val="ListParagraph"/>
        <w:numPr>
          <w:ilvl w:val="0"/>
          <w:numId w:val="2"/>
        </w:numPr>
        <w:spacing w:before="60" w:after="60"/>
      </w:pPr>
      <w:r>
        <w:rPr>
          <w:b/>
          <w:bCs/>
        </w:rPr>
        <w:t>Couche Dense (32 unités, ReLU)</w:t>
      </w:r>
      <w:r>
        <w:t xml:space="preserve"> — couche de projection non linéaire.</w:t>
      </w:r>
    </w:p>
    <w:p w14:paraId="68B6EA33" w14:textId="77777777" w:rsidR="000B27C9" w:rsidRDefault="00000000">
      <w:pPr>
        <w:pStyle w:val="ListParagraph"/>
        <w:numPr>
          <w:ilvl w:val="0"/>
          <w:numId w:val="2"/>
        </w:numPr>
        <w:spacing w:before="60" w:after="60"/>
      </w:pPr>
      <w:r>
        <w:rPr>
          <w:b/>
          <w:bCs/>
        </w:rPr>
        <w:t>Couche Dense (10 unités, softmax)</w:t>
      </w:r>
      <w:r>
        <w:t xml:space="preserve"> — produit une distribution de probabilités sur les 10 classes de gestes : </w:t>
      </w:r>
      <w:r>
        <w:rPr>
          <w:rFonts w:ascii="Courier New" w:eastAsia="Courier New" w:hAnsi="Courier New" w:cs="Courier New"/>
          <w:sz w:val="20"/>
          <w:szCs w:val="20"/>
        </w:rPr>
        <w:t>ŷ_k = P(classe = k | x_{1:T})</w:t>
      </w:r>
      <w:r>
        <w:t>.</w:t>
      </w:r>
    </w:p>
    <w:p w14:paraId="4C439B44" w14:textId="77777777" w:rsidR="000B27C9" w:rsidRDefault="000B27C9">
      <w:pPr>
        <w:spacing w:before="60" w:after="60"/>
      </w:pPr>
    </w:p>
    <w:p w14:paraId="58A85964" w14:textId="77777777" w:rsidR="000B27C9" w:rsidRDefault="00000000">
      <w:pPr>
        <w:spacing w:before="80" w:after="80" w:line="276" w:lineRule="auto"/>
        <w:jc w:val="both"/>
      </w:pPr>
      <w:r>
        <w:t xml:space="preserve">La classe prédite est obtenue par </w:t>
      </w:r>
      <w:r>
        <w:rPr>
          <w:rFonts w:ascii="Courier New" w:eastAsia="Courier New" w:hAnsi="Courier New" w:cs="Courier New"/>
          <w:sz w:val="20"/>
          <w:szCs w:val="20"/>
        </w:rPr>
        <w:t>ŷ = argmax_k P(classe = k | x_{1:T})</w:t>
      </w:r>
      <w:r>
        <w:t>. La fonction de perte minimisée lors de l'entraînement est l'entropie croisée catégorielle :</w:t>
      </w:r>
    </w:p>
    <w:p w14:paraId="4D7A3B6D" w14:textId="77777777" w:rsidR="000B27C9" w:rsidRDefault="00000000">
      <w:pPr>
        <w:spacing w:before="140" w:after="140"/>
        <w:jc w:val="center"/>
      </w:pPr>
      <w:r>
        <w:rPr>
          <w:rFonts w:ascii="Courier New" w:eastAsia="Courier New" w:hAnsi="Courier New" w:cs="Courier New"/>
        </w:rPr>
        <w:t>L  =  − Σ_k  y_k · log( ŷ_k )</w:t>
      </w:r>
    </w:p>
    <w:p w14:paraId="6546A63A" w14:textId="77777777" w:rsidR="000B27C9" w:rsidRDefault="00000000">
      <w:pPr>
        <w:spacing w:before="80" w:after="80" w:line="276" w:lineRule="auto"/>
        <w:jc w:val="both"/>
      </w:pPr>
      <w:r>
        <w:t xml:space="preserve">où </w:t>
      </w:r>
      <w:r>
        <w:rPr>
          <w:rFonts w:ascii="Courier New" w:eastAsia="Courier New" w:hAnsi="Courier New" w:cs="Courier New"/>
          <w:sz w:val="20"/>
          <w:szCs w:val="20"/>
        </w:rPr>
        <w:t>y_k</w:t>
      </w:r>
      <w:r>
        <w:t xml:space="preserve"> est la vraie étiquette encodée en one-hot. L'optimiseur utilisé est Adam (Kingma &amp; Ba, 2015), avec un taux d'apprentissage initial de </w:t>
      </w:r>
      <w:r>
        <w:rPr>
          <w:rFonts w:ascii="Courier New" w:eastAsia="Courier New" w:hAnsi="Courier New" w:cs="Courier New"/>
          <w:sz w:val="20"/>
          <w:szCs w:val="20"/>
        </w:rPr>
        <w:t>10^{-3}</w:t>
      </w:r>
      <w:r>
        <w:t>.</w:t>
      </w:r>
    </w:p>
    <w:p w14:paraId="6263F2E8" w14:textId="77777777" w:rsidR="000B27C9" w:rsidRDefault="000B27C9">
      <w:pPr>
        <w:spacing w:before="60" w:after="60"/>
      </w:pPr>
    </w:p>
    <w:p w14:paraId="2F6AA771" w14:textId="77777777" w:rsidR="000B27C9" w:rsidRDefault="00000000">
      <w:pPr>
        <w:pStyle w:val="Heading3"/>
      </w:pPr>
      <w:r>
        <w:t>4.3.4  Intégration dans le protocole de validation croisée</w:t>
      </w:r>
    </w:p>
    <w:p w14:paraId="29A668E1" w14:textId="77777777" w:rsidR="000B27C9" w:rsidRDefault="00000000">
      <w:pPr>
        <w:spacing w:before="80" w:after="80" w:line="276" w:lineRule="auto"/>
        <w:jc w:val="both"/>
      </w:pPr>
      <w:r>
        <w:t xml:space="preserve">Afin de garantir une comparaison équitable avec les méthodes baseline, le BiLSTM est évalué sous le même protocole de validation croisée décrit en Section 5 : </w:t>
      </w:r>
      <w:r>
        <w:rPr>
          <w:i/>
          <w:iCs/>
        </w:rPr>
        <w:t>leave-one-user-out</w:t>
      </w:r>
      <w:r>
        <w:t xml:space="preserve"> (user-independent) et </w:t>
      </w:r>
      <w:r>
        <w:rPr>
          <w:i/>
          <w:iCs/>
        </w:rPr>
        <w:t>leave-one-repetition-out</w:t>
      </w:r>
      <w:r>
        <w:t xml:space="preserve"> (user-dependent), soit 10 folds dans les deux cas.</w:t>
      </w:r>
    </w:p>
    <w:p w14:paraId="70123682" w14:textId="77777777" w:rsidR="000B27C9" w:rsidRDefault="000B27C9">
      <w:pPr>
        <w:spacing w:before="60" w:after="60"/>
      </w:pPr>
    </w:p>
    <w:p w14:paraId="05C210F7" w14:textId="77777777" w:rsidR="000B27C9" w:rsidRDefault="00000000">
      <w:pPr>
        <w:spacing w:before="80" w:after="80" w:line="276" w:lineRule="auto"/>
        <w:jc w:val="both"/>
      </w:pPr>
      <w:r>
        <w:t xml:space="preserve">Un point méthodologique clé : le modèle est </w:t>
      </w:r>
      <w:r>
        <w:rPr>
          <w:b/>
          <w:bCs/>
        </w:rPr>
        <w:t>réentraîné depuis zéro à chaque fold</w:t>
      </w:r>
      <w:r>
        <w:t>. Aucun poids n'est partagé entre folds, ce qui garantit qu'aucune information du fold de test ne peut influencer l'apprentissage. De même, la normalisation est fittée uniquement sur le training fold, conformément au principe d'absence de fuite de données appliqué aux autres méthodes.</w:t>
      </w:r>
    </w:p>
    <w:p w14:paraId="01119140" w14:textId="77777777" w:rsidR="000B27C9" w:rsidRDefault="000B27C9">
      <w:pPr>
        <w:spacing w:before="60" w:after="60"/>
      </w:pPr>
    </w:p>
    <w:p w14:paraId="19FDFC99" w14:textId="77777777" w:rsidR="000B27C9" w:rsidRDefault="00000000">
      <w:pPr>
        <w:spacing w:before="80" w:after="80" w:line="276" w:lineRule="auto"/>
        <w:jc w:val="both"/>
      </w:pPr>
      <w:r>
        <w:t>Contrairement aux méthodes baseline pour lesquelles l'arrêt est naturel (kNN et DTW n'ont pas d'entraînement itératif), le BiLSTM nécessite un critère d'arrêt. Plutôt qu'un split de validation interne — qui réduirait la taille effective du training set et rendrait la comparaison inéquitable — nous fixons un nombre d'epochs maximal de 50, ce qui s'avère suffisant pour la convergence sur ce dataset de taille modeste.</w:t>
      </w:r>
    </w:p>
    <w:p w14:paraId="3FD043D6" w14:textId="77777777" w:rsidR="000B27C9" w:rsidRDefault="000B27C9">
      <w:pPr>
        <w:spacing w:before="60" w:after="60"/>
      </w:pPr>
    </w:p>
    <w:p w14:paraId="33C74E4F" w14:textId="77777777" w:rsidR="000B27C9" w:rsidRDefault="00000000">
      <w:pPr>
        <w:pStyle w:val="Heading3"/>
      </w:pPr>
      <w:r>
        <w:t>4.3.5  Grille d'hyperparamètres</w:t>
      </w:r>
    </w:p>
    <w:p w14:paraId="0013FB9A" w14:textId="77777777" w:rsidR="000B27C9" w:rsidRDefault="00000000">
      <w:pPr>
        <w:spacing w:before="80" w:after="80" w:line="276" w:lineRule="auto"/>
        <w:jc w:val="both"/>
      </w:pPr>
      <w:r>
        <w:t>Les hyperparamètres ont été balayés de manière systématique, en miroir de la grille utilisée pour les méthodes baseline (</w:t>
      </w:r>
      <w:r>
        <w:rPr>
          <w:rFonts w:ascii="Courier New" w:eastAsia="Courier New" w:hAnsi="Courier New" w:cs="Courier New"/>
          <w:sz w:val="20"/>
          <w:szCs w:val="20"/>
        </w:rPr>
        <w:t>n_clusters</w:t>
      </w:r>
      <w:r>
        <w:t xml:space="preserve"> et </w:t>
      </w:r>
      <w:r>
        <w:rPr>
          <w:rFonts w:ascii="Courier New" w:eastAsia="Courier New" w:hAnsi="Courier New" w:cs="Courier New"/>
          <w:sz w:val="20"/>
          <w:szCs w:val="20"/>
        </w:rPr>
        <w:t>k</w:t>
      </w:r>
      <w:r>
        <w:t>). Le Tableau 1 résume la grille explorée.</w:t>
      </w:r>
    </w:p>
    <w:p w14:paraId="19A800B0" w14:textId="77777777" w:rsidR="000B27C9" w:rsidRDefault="000B27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27C9" w14:paraId="57CD5D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5D2F2D30" w14:textId="77777777" w:rsidR="000B27C9" w:rsidRDefault="00000000">
            <w:pPr>
              <w:jc w:val="center"/>
            </w:pPr>
            <w:r>
              <w:rPr>
                <w:b/>
                <w:bCs/>
                <w:color w:val="FFFFFF"/>
                <w:sz w:val="20"/>
                <w:szCs w:val="20"/>
              </w:rPr>
              <w:t>Hyperparamètre</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75E57C58" w14:textId="77777777" w:rsidR="000B27C9" w:rsidRDefault="00000000">
            <w:pPr>
              <w:jc w:val="center"/>
            </w:pPr>
            <w:r>
              <w:rPr>
                <w:b/>
                <w:bCs/>
                <w:color w:val="FFFFFF"/>
                <w:sz w:val="20"/>
                <w:szCs w:val="20"/>
              </w:rPr>
              <w:t>Valeurs testées</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7FE037E6" w14:textId="77777777" w:rsidR="000B27C9" w:rsidRDefault="00000000">
            <w:pPr>
              <w:jc w:val="center"/>
            </w:pPr>
            <w:r>
              <w:rPr>
                <w:b/>
                <w:bCs/>
                <w:color w:val="FFFFFF"/>
                <w:sz w:val="20"/>
                <w:szCs w:val="20"/>
              </w:rPr>
              <w:t>Valeur retenue</w:t>
            </w:r>
          </w:p>
        </w:tc>
      </w:tr>
      <w:tr w:rsidR="000B27C9" w14:paraId="629364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6B3B9" w14:textId="77777777" w:rsidR="000B27C9" w:rsidRDefault="00000000">
            <w:pPr>
              <w:jc w:val="center"/>
            </w:pPr>
            <w:r>
              <w:rPr>
                <w:sz w:val="20"/>
                <w:szCs w:val="20"/>
              </w:rPr>
              <w:t>target_length (T)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9CCC5" w14:textId="77777777" w:rsidR="000B27C9" w:rsidRDefault="00000000">
            <w:pPr>
              <w:jc w:val="center"/>
            </w:pPr>
            <w:r>
              <w:rPr>
                <w:sz w:val="20"/>
                <w:szCs w:val="20"/>
              </w:rPr>
              <w:t>32, 64, 128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1987A" w14:textId="77777777" w:rsidR="000B27C9" w:rsidRDefault="00000000">
            <w:pPr>
              <w:jc w:val="center"/>
            </w:pPr>
            <w:r>
              <w:rPr>
                <w:sz w:val="20"/>
                <w:szCs w:val="20"/>
              </w:rPr>
              <w:t>64</w:t>
            </w:r>
          </w:p>
        </w:tc>
      </w:tr>
      <w:tr w:rsidR="000B27C9" w14:paraId="1E4623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B7D970D" w14:textId="77777777" w:rsidR="000B27C9" w:rsidRDefault="00000000">
            <w:pPr>
              <w:jc w:val="center"/>
            </w:pPr>
            <w:r>
              <w:rPr>
                <w:sz w:val="20"/>
                <w:szCs w:val="20"/>
              </w:rPr>
              <w:t>n_units (u)</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C18BD11" w14:textId="77777777" w:rsidR="000B27C9" w:rsidRDefault="00000000">
            <w:pPr>
              <w:jc w:val="center"/>
            </w:pPr>
            <w:r>
              <w:rPr>
                <w:sz w:val="20"/>
                <w:szCs w:val="20"/>
              </w:rPr>
              <w:t>32, 64, 128</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C1A0BDE" w14:textId="77777777" w:rsidR="000B27C9" w:rsidRDefault="00000000">
            <w:pPr>
              <w:jc w:val="center"/>
            </w:pPr>
            <w:r>
              <w:rPr>
                <w:sz w:val="20"/>
                <w:szCs w:val="20"/>
              </w:rPr>
              <w:t>64</w:t>
            </w:r>
          </w:p>
        </w:tc>
      </w:tr>
      <w:tr w:rsidR="000B27C9" w14:paraId="4C73D1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EB9C" w14:textId="77777777" w:rsidR="000B27C9" w:rsidRDefault="00000000">
            <w:pPr>
              <w:jc w:val="center"/>
            </w:pPr>
            <w:r>
              <w:rPr>
                <w:sz w:val="20"/>
                <w:szCs w:val="20"/>
              </w:rPr>
              <w:t>Dropout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7E2A" w14:textId="77777777" w:rsidR="000B27C9" w:rsidRDefault="00000000">
            <w:pPr>
              <w:jc w:val="center"/>
            </w:pPr>
            <w:r>
              <w:rPr>
                <w:sz w:val="20"/>
                <w:szCs w:val="20"/>
              </w:rPr>
              <w:t>0.3 (fixé)</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1D777" w14:textId="77777777" w:rsidR="000B27C9" w:rsidRDefault="00000000">
            <w:pPr>
              <w:jc w:val="center"/>
            </w:pPr>
            <w:r>
              <w:rPr>
                <w:sz w:val="20"/>
                <w:szCs w:val="20"/>
              </w:rPr>
              <w:t>0.3</w:t>
            </w:r>
          </w:p>
        </w:tc>
      </w:tr>
      <w:tr w:rsidR="000B27C9" w14:paraId="39DE7D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3E3927" w14:textId="77777777" w:rsidR="000B27C9" w:rsidRDefault="00000000">
            <w:pPr>
              <w:jc w:val="center"/>
            </w:pPr>
            <w:r>
              <w:rPr>
                <w:sz w:val="20"/>
                <w:szCs w:val="20"/>
              </w:rPr>
              <w:t>Epochs max</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82345F6" w14:textId="77777777" w:rsidR="000B27C9" w:rsidRDefault="00000000">
            <w:pPr>
              <w:jc w:val="center"/>
            </w:pPr>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C3FE26E" w14:textId="77777777" w:rsidR="000B27C9" w:rsidRDefault="00000000">
            <w:pPr>
              <w:jc w:val="center"/>
            </w:pPr>
            <w:r>
              <w:rPr>
                <w:sz w:val="20"/>
                <w:szCs w:val="20"/>
              </w:rPr>
              <w:t>50</w:t>
            </w:r>
          </w:p>
        </w:tc>
      </w:tr>
      <w:tr w:rsidR="000B27C9" w14:paraId="4A31DA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A852B" w14:textId="77777777" w:rsidR="000B27C9" w:rsidRDefault="00000000">
            <w:pPr>
              <w:jc w:val="center"/>
            </w:pPr>
            <w:r>
              <w:rPr>
                <w:sz w:val="20"/>
                <w:szCs w:val="20"/>
              </w:rPr>
              <w:t>Batch size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37D5E" w14:textId="77777777" w:rsidR="000B27C9" w:rsidRDefault="00000000">
            <w:pPr>
              <w:jc w:val="center"/>
            </w:pPr>
            <w:r>
              <w:rPr>
                <w:sz w:val="20"/>
                <w:szCs w:val="20"/>
              </w:rPr>
              <w:t>16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D4235" w14:textId="77777777" w:rsidR="000B27C9" w:rsidRDefault="00000000">
            <w:pPr>
              <w:jc w:val="center"/>
            </w:pPr>
            <w:r>
              <w:rPr>
                <w:sz w:val="20"/>
                <w:szCs w:val="20"/>
              </w:rPr>
              <w:t>16</w:t>
            </w:r>
          </w:p>
        </w:tc>
      </w:tr>
      <w:tr w:rsidR="000B27C9" w14:paraId="3117AF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5A775C1" w14:textId="77777777" w:rsidR="000B27C9" w:rsidRDefault="00000000">
            <w:pPr>
              <w:jc w:val="center"/>
            </w:pPr>
            <w:r>
              <w:rPr>
                <w:sz w:val="20"/>
                <w:szCs w:val="20"/>
              </w:rPr>
              <w:t>Optimiseur</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45D62E7" w14:textId="77777777" w:rsidR="000B27C9" w:rsidRDefault="00000000">
            <w:pPr>
              <w:jc w:val="center"/>
            </w:pPr>
            <w:r>
              <w:rPr>
                <w:sz w:val="20"/>
                <w:szCs w:val="20"/>
              </w:rPr>
              <w:t>Adam</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DA80012" w14:textId="77777777" w:rsidR="000B27C9" w:rsidRDefault="00000000">
            <w:pPr>
              <w:jc w:val="center"/>
            </w:pPr>
            <w:r>
              <w:rPr>
                <w:sz w:val="20"/>
                <w:szCs w:val="20"/>
              </w:rPr>
              <w:t>Adam</w:t>
            </w:r>
          </w:p>
        </w:tc>
      </w:tr>
    </w:tbl>
    <w:p w14:paraId="74BB19FF" w14:textId="77777777" w:rsidR="000B27C9" w:rsidRDefault="00000000">
      <w:pPr>
        <w:spacing w:before="60" w:after="200"/>
        <w:jc w:val="center"/>
      </w:pPr>
      <w:r>
        <w:rPr>
          <w:i/>
          <w:iCs/>
          <w:color w:val="555555"/>
          <w:sz w:val="20"/>
          <w:szCs w:val="20"/>
        </w:rPr>
        <w:lastRenderedPageBreak/>
        <w:t>Tableau 1 — Grille d'hyperparamètres du BiLSTM. La valeur retenue correspond à la configuration maximisant la précision moyenne en validation croisée.</w:t>
      </w:r>
    </w:p>
    <w:p w14:paraId="48E13489" w14:textId="77777777" w:rsidR="000B27C9" w:rsidRDefault="00000000">
      <w:pPr>
        <w:pStyle w:val="Heading3"/>
      </w:pPr>
      <w:r>
        <w:t>4.3.6  Comparaison avec les méthodes baseline</w:t>
      </w:r>
    </w:p>
    <w:p w14:paraId="02A95100" w14:textId="77777777" w:rsidR="000B27C9" w:rsidRDefault="00000000">
      <w:pPr>
        <w:spacing w:before="80" w:after="80" w:line="276" w:lineRule="auto"/>
        <w:jc w:val="both"/>
      </w:pPr>
      <w:r>
        <w:t>Le Tableau 2 positionne le BiLSTM par rapport aux méthodes baseline selon plusieurs critères pertinents pour notre problème de reconnaissance de gestes 3D.</w:t>
      </w:r>
    </w:p>
    <w:p w14:paraId="34952FB0" w14:textId="77777777" w:rsidR="000B27C9" w:rsidRDefault="000B27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B27C9" w14:paraId="79CBDA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5A533FBD" w14:textId="77777777" w:rsidR="000B27C9" w:rsidRDefault="00000000">
            <w:pPr>
              <w:jc w:val="center"/>
            </w:pPr>
            <w:r>
              <w:rPr>
                <w:b/>
                <w:bCs/>
                <w:color w:val="FFFFFF"/>
                <w:sz w:val="20"/>
                <w:szCs w:val="20"/>
              </w:rPr>
              <w:t>Critère</w:t>
            </w:r>
          </w:p>
        </w:tc>
        <w:tc>
          <w:tcPr>
            <w:tcW w:w="234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46C12D78" w14:textId="77777777" w:rsidR="000B27C9" w:rsidRDefault="00000000">
            <w:pPr>
              <w:jc w:val="center"/>
            </w:pPr>
            <w:r>
              <w:rPr>
                <w:b/>
                <w:bCs/>
                <w:color w:val="FFFFFF"/>
                <w:sz w:val="20"/>
                <w:szCs w:val="20"/>
              </w:rPr>
              <w:t>Edit Distance</w:t>
            </w:r>
          </w:p>
        </w:tc>
        <w:tc>
          <w:tcPr>
            <w:tcW w:w="234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7BFA3F70" w14:textId="77777777" w:rsidR="000B27C9" w:rsidRDefault="00000000">
            <w:pPr>
              <w:jc w:val="center"/>
            </w:pPr>
            <w:r>
              <w:rPr>
                <w:b/>
                <w:bCs/>
                <w:color w:val="FFFFFF"/>
                <w:sz w:val="20"/>
                <w:szCs w:val="20"/>
              </w:rPr>
              <w:t>DTW</w:t>
            </w:r>
          </w:p>
        </w:tc>
        <w:tc>
          <w:tcPr>
            <w:tcW w:w="234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tcPr>
          <w:p w14:paraId="4A60ACA4" w14:textId="77777777" w:rsidR="000B27C9" w:rsidRDefault="00000000">
            <w:pPr>
              <w:jc w:val="center"/>
            </w:pPr>
            <w:r>
              <w:rPr>
                <w:b/>
                <w:bCs/>
                <w:color w:val="FFFFFF"/>
                <w:sz w:val="20"/>
                <w:szCs w:val="20"/>
              </w:rPr>
              <w:t>BiLSTM</w:t>
            </w:r>
          </w:p>
        </w:tc>
      </w:tr>
      <w:tr w:rsidR="000B27C9" w14:paraId="0F96D5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1D9AB" w14:textId="77777777" w:rsidR="000B27C9" w:rsidRDefault="00000000">
            <w:r>
              <w:rPr>
                <w:sz w:val="20"/>
                <w:szCs w:val="20"/>
              </w:rPr>
              <w:t>Type de représentation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842F9" w14:textId="77777777" w:rsidR="000B27C9" w:rsidRDefault="00000000">
            <w:r>
              <w:rPr>
                <w:sz w:val="20"/>
                <w:szCs w:val="20"/>
              </w:rPr>
              <w:t>Symbolique (KMeans)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E19BB" w14:textId="77777777" w:rsidR="000B27C9" w:rsidRDefault="00000000">
            <w:r>
              <w:rPr>
                <w:sz w:val="20"/>
                <w:szCs w:val="20"/>
              </w:rPr>
              <w:t>Signal brut 3D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DFB84" w14:textId="77777777" w:rsidR="000B27C9" w:rsidRDefault="00000000">
            <w:r>
              <w:rPr>
                <w:sz w:val="20"/>
                <w:szCs w:val="20"/>
              </w:rPr>
              <w:t>Signal brut 3D</w:t>
            </w:r>
          </w:p>
        </w:tc>
      </w:tr>
      <w:tr w:rsidR="000B27C9" w14:paraId="05DA5D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9B247F" w14:textId="77777777" w:rsidR="000B27C9" w:rsidRDefault="00000000">
            <w:r>
              <w:rPr>
                <w:sz w:val="20"/>
                <w:szCs w:val="20"/>
              </w:rPr>
              <w:t>Apprentissage supervisé</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D3E5B7" w14:textId="77777777" w:rsidR="000B27C9" w:rsidRDefault="00000000">
            <w:r>
              <w:rPr>
                <w:sz w:val="20"/>
                <w:szCs w:val="20"/>
              </w:rPr>
              <w:t>Non (kNN)</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620858E" w14:textId="77777777" w:rsidR="000B27C9" w:rsidRDefault="00000000">
            <w:r>
              <w:rPr>
                <w:sz w:val="20"/>
                <w:szCs w:val="20"/>
              </w:rPr>
              <w:t>Non (kNN)</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8B07DE3" w14:textId="77777777" w:rsidR="000B27C9" w:rsidRDefault="00000000">
            <w:r>
              <w:rPr>
                <w:sz w:val="20"/>
                <w:szCs w:val="20"/>
              </w:rPr>
              <w:t>Oui (end-to-end)</w:t>
            </w:r>
          </w:p>
        </w:tc>
      </w:tr>
      <w:tr w:rsidR="000B27C9" w14:paraId="100E9C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126BB" w14:textId="77777777" w:rsidR="000B27C9" w:rsidRDefault="00000000">
            <w:r>
              <w:rPr>
                <w:sz w:val="20"/>
                <w:szCs w:val="20"/>
              </w:rPr>
              <w:t>Capture du contexte temporel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78EC0" w14:textId="77777777" w:rsidR="000B27C9" w:rsidRDefault="00000000">
            <w:r>
              <w:rPr>
                <w:sz w:val="20"/>
                <w:szCs w:val="20"/>
              </w:rPr>
              <w:t>Partielle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C4C25" w14:textId="77777777" w:rsidR="000B27C9" w:rsidRDefault="00000000">
            <w:r>
              <w:rPr>
                <w:sz w:val="20"/>
                <w:szCs w:val="20"/>
              </w:rPr>
              <w:t>Bonne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1EC9A" w14:textId="77777777" w:rsidR="000B27C9" w:rsidRDefault="00000000">
            <w:r>
              <w:rPr>
                <w:sz w:val="20"/>
                <w:szCs w:val="20"/>
              </w:rPr>
              <w:t>Bidirectionnelle</w:t>
            </w:r>
          </w:p>
        </w:tc>
      </w:tr>
      <w:tr w:rsidR="000B27C9" w14:paraId="60887D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B978C96" w14:textId="77777777" w:rsidR="000B27C9" w:rsidRDefault="00000000">
            <w:r>
              <w:rPr>
                <w:sz w:val="20"/>
                <w:szCs w:val="20"/>
              </w:rPr>
              <w:t>Complexité inférence</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FF90A0C" w14:textId="77777777" w:rsidR="000B27C9" w:rsidRDefault="00000000">
            <w:r>
              <w:rPr>
                <w:sz w:val="20"/>
                <w:szCs w:val="20"/>
              </w:rPr>
              <w:t>O(N·L) par requête</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00320A3" w14:textId="77777777" w:rsidR="000B27C9" w:rsidRDefault="00000000">
            <w:r>
              <w:rPr>
                <w:sz w:val="20"/>
                <w:szCs w:val="20"/>
              </w:rPr>
              <w:t>O(N·L²)</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307E27D" w14:textId="77777777" w:rsidR="000B27C9" w:rsidRDefault="00000000">
            <w:r>
              <w:rPr>
                <w:sz w:val="20"/>
                <w:szCs w:val="20"/>
              </w:rPr>
              <w:t>O(L) après entraînement</w:t>
            </w:r>
          </w:p>
        </w:tc>
      </w:tr>
      <w:tr w:rsidR="000B27C9" w14:paraId="362C5D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91189" w14:textId="77777777" w:rsidR="000B27C9" w:rsidRDefault="00000000">
            <w:r>
              <w:rPr>
                <w:sz w:val="20"/>
                <w:szCs w:val="20"/>
              </w:rPr>
              <w:t>Robustesse au bruit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2A982" w14:textId="77777777" w:rsidR="000B27C9" w:rsidRDefault="00000000">
            <w:r>
              <w:rPr>
                <w:sz w:val="20"/>
                <w:szCs w:val="20"/>
              </w:rPr>
              <w:t>Modérée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DB9EA" w14:textId="77777777" w:rsidR="000B27C9" w:rsidRDefault="00000000">
            <w:r>
              <w:rPr>
                <w:sz w:val="20"/>
                <w:szCs w:val="20"/>
              </w:rPr>
              <w:t>Bonne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2301C" w14:textId="77777777" w:rsidR="000B27C9" w:rsidRDefault="00000000">
            <w:r>
              <w:rPr>
                <w:sz w:val="20"/>
                <w:szCs w:val="20"/>
              </w:rPr>
              <w:t>Très bonne</w:t>
            </w:r>
          </w:p>
        </w:tc>
      </w:tr>
    </w:tbl>
    <w:p w14:paraId="5F098586" w14:textId="77777777" w:rsidR="000B27C9" w:rsidRDefault="00000000">
      <w:pPr>
        <w:spacing w:before="60" w:after="200"/>
        <w:jc w:val="center"/>
      </w:pPr>
      <w:r>
        <w:rPr>
          <w:i/>
          <w:iCs/>
          <w:color w:val="555555"/>
          <w:sz w:val="20"/>
          <w:szCs w:val="20"/>
        </w:rPr>
        <w:t>Tableau 2 — Comparaison qualitative entre les trois méthodes implémentées.</w:t>
      </w:r>
    </w:p>
    <w:p w14:paraId="0B545ED8" w14:textId="77777777" w:rsidR="000B27C9" w:rsidRDefault="000B27C9">
      <w:pPr>
        <w:spacing w:before="60" w:after="60"/>
      </w:pPr>
    </w:p>
    <w:p w14:paraId="3EC72CEE" w14:textId="77777777" w:rsidR="000B27C9" w:rsidRDefault="00000000">
      <w:pPr>
        <w:spacing w:before="80" w:after="80" w:line="276" w:lineRule="auto"/>
        <w:jc w:val="both"/>
      </w:pPr>
      <w:r>
        <w:t xml:space="preserve">On s'attend à ce que le BiLSTM surpasse les méthodes baseline en setting </w:t>
      </w:r>
      <w:r>
        <w:rPr>
          <w:i/>
          <w:iCs/>
        </w:rPr>
        <w:t>user-dependent</w:t>
      </w:r>
      <w:r>
        <w:t xml:space="preserve">, où suffisamment d'exemples par utilisateur sont disponibles pour un apprentissage supervisé efficace. En setting </w:t>
      </w:r>
      <w:r>
        <w:rPr>
          <w:i/>
          <w:iCs/>
        </w:rPr>
        <w:t>user-independent</w:t>
      </w:r>
      <w:r>
        <w:t>, la capacité de généralisation à de nouveaux utilisateurs constitue un défi plus important, auquel les méthodes non paramétriques (DTW, edit distance) sont naturellement plus robustes car elles ne requièrent aucun ajustement de paramètres.</w:t>
      </w:r>
    </w:p>
    <w:p w14:paraId="7A138398" w14:textId="77777777" w:rsidR="000B27C9" w:rsidRDefault="000B27C9">
      <w:pPr>
        <w:spacing w:before="60" w:after="60"/>
      </w:pPr>
    </w:p>
    <w:p w14:paraId="59AC55F4" w14:textId="77777777" w:rsidR="000B27C9" w:rsidRDefault="00000000">
      <w:pPr>
        <w:pStyle w:val="Heading3"/>
      </w:pPr>
      <w:r>
        <w:t>Références relatives à cette section</w:t>
      </w:r>
    </w:p>
    <w:p w14:paraId="436A5585" w14:textId="77777777" w:rsidR="000B27C9" w:rsidRDefault="00000000">
      <w:pPr>
        <w:spacing w:before="80" w:after="80" w:line="276" w:lineRule="auto"/>
        <w:jc w:val="both"/>
      </w:pPr>
      <w:r>
        <w:t xml:space="preserve">Hochreiter, S. &amp; Schmidhuber, J. (1997). Long Short-Term Memory. </w:t>
      </w:r>
    </w:p>
    <w:p w14:paraId="615FAE06" w14:textId="77777777" w:rsidR="000B27C9" w:rsidRDefault="00000000">
      <w:pPr>
        <w:spacing w:before="80" w:after="80" w:line="276" w:lineRule="auto"/>
        <w:jc w:val="both"/>
      </w:pPr>
      <w:r>
        <w:rPr>
          <w:i/>
          <w:iCs/>
        </w:rPr>
        <w:t>Neural Computation</w:t>
      </w:r>
      <w:r>
        <w:t>, 9(8), 1735–1780.</w:t>
      </w:r>
    </w:p>
    <w:p w14:paraId="2EA40CCC" w14:textId="77777777" w:rsidR="000B27C9" w:rsidRDefault="000B27C9">
      <w:pPr>
        <w:spacing w:before="60" w:after="60"/>
      </w:pPr>
    </w:p>
    <w:p w14:paraId="668BC82C" w14:textId="77777777" w:rsidR="000B27C9" w:rsidRDefault="00000000">
      <w:pPr>
        <w:spacing w:before="80" w:after="80" w:line="276" w:lineRule="auto"/>
        <w:jc w:val="both"/>
      </w:pPr>
      <w:r>
        <w:t xml:space="preserve">Schuster, M. &amp; Paliwal, K. K. (1997). Bidirectional recurrent neural networks. </w:t>
      </w:r>
    </w:p>
    <w:p w14:paraId="1B8B2690" w14:textId="77777777" w:rsidR="000B27C9" w:rsidRDefault="00000000">
      <w:pPr>
        <w:spacing w:before="80" w:after="80" w:line="276" w:lineRule="auto"/>
        <w:jc w:val="both"/>
      </w:pPr>
      <w:r>
        <w:rPr>
          <w:i/>
          <w:iCs/>
        </w:rPr>
        <w:t>IEEE Transactions on Signal Processing</w:t>
      </w:r>
      <w:r>
        <w:t>, 45(11), 2673–2681.</w:t>
      </w:r>
    </w:p>
    <w:p w14:paraId="44532F57" w14:textId="77777777" w:rsidR="000B27C9" w:rsidRDefault="000B27C9">
      <w:pPr>
        <w:spacing w:before="60" w:after="60"/>
      </w:pPr>
    </w:p>
    <w:p w14:paraId="464BEBF4" w14:textId="77777777" w:rsidR="000B27C9" w:rsidRDefault="00000000">
      <w:pPr>
        <w:spacing w:before="80" w:after="80" w:line="276" w:lineRule="auto"/>
        <w:jc w:val="both"/>
      </w:pPr>
      <w:r>
        <w:t xml:space="preserve">Ioffe, S. &amp; Szegedy, C. (2015). Batch Normalization: Accelerating Deep Network Training. </w:t>
      </w:r>
    </w:p>
    <w:p w14:paraId="69A7D730" w14:textId="77777777" w:rsidR="000B27C9" w:rsidRDefault="00000000">
      <w:pPr>
        <w:spacing w:before="80" w:after="80" w:line="276" w:lineRule="auto"/>
        <w:jc w:val="both"/>
      </w:pPr>
      <w:r>
        <w:rPr>
          <w:i/>
          <w:iCs/>
        </w:rPr>
        <w:t>Proceedings of ICML 2015</w:t>
      </w:r>
    </w:p>
    <w:p w14:paraId="66F74DB0" w14:textId="77777777" w:rsidR="000B27C9" w:rsidRDefault="000B27C9">
      <w:pPr>
        <w:spacing w:before="60" w:after="60"/>
      </w:pPr>
    </w:p>
    <w:p w14:paraId="386C3F71" w14:textId="77777777" w:rsidR="000B27C9" w:rsidRDefault="00000000">
      <w:pPr>
        <w:spacing w:before="80" w:after="80" w:line="276" w:lineRule="auto"/>
        <w:jc w:val="both"/>
      </w:pPr>
      <w:r>
        <w:t xml:space="preserve">Kingma, D. P. &amp; Ba, J. (2015). Adam: A Method for Stochastic Optimization. </w:t>
      </w:r>
    </w:p>
    <w:p w14:paraId="2BCA981C" w14:textId="77777777" w:rsidR="000B27C9" w:rsidRDefault="00000000">
      <w:pPr>
        <w:spacing w:before="80" w:after="80" w:line="276" w:lineRule="auto"/>
        <w:jc w:val="both"/>
      </w:pPr>
      <w:r>
        <w:rPr>
          <w:i/>
          <w:iCs/>
        </w:rPr>
        <w:t>Proceedings of ICLR 2015.</w:t>
      </w:r>
    </w:p>
    <w:p w14:paraId="163A3DA5" w14:textId="77777777" w:rsidR="000B27C9" w:rsidRDefault="000B27C9">
      <w:pPr>
        <w:spacing w:before="60" w:after="60"/>
      </w:pPr>
    </w:p>
    <w:p w14:paraId="535BA3C1" w14:textId="77777777" w:rsidR="000B27C9" w:rsidRDefault="00000000">
      <w:pPr>
        <w:spacing w:before="80" w:after="80" w:line="276" w:lineRule="auto"/>
        <w:jc w:val="both"/>
      </w:pPr>
      <w:r>
        <w:t xml:space="preserve">Goodfellow, I., Bengio, Y. &amp; Courville, A. (2016). </w:t>
      </w:r>
      <w:r>
        <w:rPr>
          <w:i/>
          <w:iCs/>
        </w:rPr>
        <w:t>Deep Learning</w:t>
      </w:r>
      <w:r>
        <w:t>. MIT Press.</w:t>
      </w:r>
    </w:p>
    <w:sectPr w:rsidR="000B27C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00BA7" w14:textId="77777777" w:rsidR="00FF4217" w:rsidRDefault="00FF4217">
      <w:r>
        <w:separator/>
      </w:r>
    </w:p>
  </w:endnote>
  <w:endnote w:type="continuationSeparator" w:id="0">
    <w:p w14:paraId="5C049A8F" w14:textId="77777777" w:rsidR="00FF4217" w:rsidRDefault="00FF4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1DBD" w14:textId="77777777" w:rsidR="000B27C9" w:rsidRDefault="00000000">
    <w:pPr>
      <w:jc w:val="right"/>
    </w:pPr>
    <w:r>
      <w:rPr>
        <w:color w:val="888888"/>
        <w:sz w:val="18"/>
        <w:szCs w:val="18"/>
      </w:rPr>
      <w:t xml:space="preserve">Gesture Recognition — MLSM2154  |  </w:t>
    </w:r>
    <w:r>
      <w:rPr>
        <w:color w:val="888888"/>
        <w:sz w:val="18"/>
        <w:szCs w:val="18"/>
      </w:rPr>
      <w:fldChar w:fldCharType="begin"/>
    </w:r>
    <w:r>
      <w:rPr>
        <w:color w:val="888888"/>
        <w:sz w:val="18"/>
        <w:szCs w:val="18"/>
      </w:rPr>
      <w:instrText>PAGE</w:instrText>
    </w:r>
    <w:r>
      <w:rPr>
        <w:color w:val="888888"/>
        <w:sz w:val="18"/>
        <w:szCs w:val="18"/>
      </w:rPr>
      <w:fldChar w:fldCharType="separate"/>
    </w:r>
    <w:r w:rsidR="006F085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8253" w14:textId="77777777" w:rsidR="00FF4217" w:rsidRDefault="00FF4217">
      <w:r>
        <w:separator/>
      </w:r>
    </w:p>
  </w:footnote>
  <w:footnote w:type="continuationSeparator" w:id="0">
    <w:p w14:paraId="71CB42EB" w14:textId="77777777" w:rsidR="00FF4217" w:rsidRDefault="00FF4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37E0"/>
    <w:multiLevelType w:val="hybridMultilevel"/>
    <w:tmpl w:val="B93A984A"/>
    <w:lvl w:ilvl="0" w:tplc="E836F514">
      <w:start w:val="1"/>
      <w:numFmt w:val="bullet"/>
      <w:lvlText w:val="•"/>
      <w:lvlJc w:val="left"/>
      <w:pPr>
        <w:ind w:left="720" w:hanging="360"/>
      </w:pPr>
      <w:rPr>
        <w:rFonts w:ascii="Arial" w:eastAsia="Arial" w:hAnsi="Arial" w:cs="Arial"/>
        <w:sz w:val="22"/>
        <w:szCs w:val="22"/>
      </w:rPr>
    </w:lvl>
    <w:lvl w:ilvl="1" w:tplc="8140F1AC">
      <w:numFmt w:val="decimal"/>
      <w:lvlText w:val=""/>
      <w:lvlJc w:val="left"/>
    </w:lvl>
    <w:lvl w:ilvl="2" w:tplc="F0A8EDE0">
      <w:numFmt w:val="decimal"/>
      <w:lvlText w:val=""/>
      <w:lvlJc w:val="left"/>
    </w:lvl>
    <w:lvl w:ilvl="3" w:tplc="5E5086F2">
      <w:numFmt w:val="decimal"/>
      <w:lvlText w:val=""/>
      <w:lvlJc w:val="left"/>
    </w:lvl>
    <w:lvl w:ilvl="4" w:tplc="5FC22D7E">
      <w:numFmt w:val="decimal"/>
      <w:lvlText w:val=""/>
      <w:lvlJc w:val="left"/>
    </w:lvl>
    <w:lvl w:ilvl="5" w:tplc="888CF38E">
      <w:numFmt w:val="decimal"/>
      <w:lvlText w:val=""/>
      <w:lvlJc w:val="left"/>
    </w:lvl>
    <w:lvl w:ilvl="6" w:tplc="32B46C62">
      <w:numFmt w:val="decimal"/>
      <w:lvlText w:val=""/>
      <w:lvlJc w:val="left"/>
    </w:lvl>
    <w:lvl w:ilvl="7" w:tplc="75D85022">
      <w:numFmt w:val="decimal"/>
      <w:lvlText w:val=""/>
      <w:lvlJc w:val="left"/>
    </w:lvl>
    <w:lvl w:ilvl="8" w:tplc="810AE146">
      <w:numFmt w:val="decimal"/>
      <w:lvlText w:val=""/>
      <w:lvlJc w:val="left"/>
    </w:lvl>
  </w:abstractNum>
  <w:abstractNum w:abstractNumId="1" w15:restartNumberingAfterBreak="0">
    <w:nsid w:val="6E870815"/>
    <w:multiLevelType w:val="hybridMultilevel"/>
    <w:tmpl w:val="6CD80AD6"/>
    <w:lvl w:ilvl="0" w:tplc="FD10EB20">
      <w:start w:val="1"/>
      <w:numFmt w:val="bullet"/>
      <w:lvlText w:val="●"/>
      <w:lvlJc w:val="left"/>
      <w:pPr>
        <w:ind w:left="720" w:hanging="360"/>
      </w:pPr>
    </w:lvl>
    <w:lvl w:ilvl="1" w:tplc="B644C74C">
      <w:start w:val="1"/>
      <w:numFmt w:val="bullet"/>
      <w:lvlText w:val="○"/>
      <w:lvlJc w:val="left"/>
      <w:pPr>
        <w:ind w:left="1440" w:hanging="360"/>
      </w:pPr>
    </w:lvl>
    <w:lvl w:ilvl="2" w:tplc="66B6C328">
      <w:start w:val="1"/>
      <w:numFmt w:val="bullet"/>
      <w:lvlText w:val="■"/>
      <w:lvlJc w:val="left"/>
      <w:pPr>
        <w:ind w:left="2160" w:hanging="360"/>
      </w:pPr>
    </w:lvl>
    <w:lvl w:ilvl="3" w:tplc="76A4ECDA">
      <w:start w:val="1"/>
      <w:numFmt w:val="bullet"/>
      <w:lvlText w:val="●"/>
      <w:lvlJc w:val="left"/>
      <w:pPr>
        <w:ind w:left="2880" w:hanging="360"/>
      </w:pPr>
    </w:lvl>
    <w:lvl w:ilvl="4" w:tplc="0E5E90CA">
      <w:start w:val="1"/>
      <w:numFmt w:val="bullet"/>
      <w:lvlText w:val="○"/>
      <w:lvlJc w:val="left"/>
      <w:pPr>
        <w:ind w:left="3600" w:hanging="360"/>
      </w:pPr>
    </w:lvl>
    <w:lvl w:ilvl="5" w:tplc="33DE3C18">
      <w:start w:val="1"/>
      <w:numFmt w:val="bullet"/>
      <w:lvlText w:val="■"/>
      <w:lvlJc w:val="left"/>
      <w:pPr>
        <w:ind w:left="4320" w:hanging="360"/>
      </w:pPr>
    </w:lvl>
    <w:lvl w:ilvl="6" w:tplc="F32EF2F6">
      <w:start w:val="1"/>
      <w:numFmt w:val="bullet"/>
      <w:lvlText w:val="●"/>
      <w:lvlJc w:val="left"/>
      <w:pPr>
        <w:ind w:left="5040" w:hanging="360"/>
      </w:pPr>
    </w:lvl>
    <w:lvl w:ilvl="7" w:tplc="478C1CEE">
      <w:start w:val="1"/>
      <w:numFmt w:val="bullet"/>
      <w:lvlText w:val="●"/>
      <w:lvlJc w:val="left"/>
      <w:pPr>
        <w:ind w:left="5760" w:hanging="360"/>
      </w:pPr>
    </w:lvl>
    <w:lvl w:ilvl="8" w:tplc="1E82AB30">
      <w:start w:val="1"/>
      <w:numFmt w:val="bullet"/>
      <w:lvlText w:val="●"/>
      <w:lvlJc w:val="left"/>
      <w:pPr>
        <w:ind w:left="6480" w:hanging="360"/>
      </w:pPr>
    </w:lvl>
  </w:abstractNum>
  <w:num w:numId="1" w16cid:durableId="589891066">
    <w:abstractNumId w:val="1"/>
    <w:lvlOverride w:ilvl="0">
      <w:startOverride w:val="1"/>
    </w:lvlOverride>
  </w:num>
  <w:num w:numId="2" w16cid:durableId="832643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7C9"/>
    <w:rsid w:val="000119FB"/>
    <w:rsid w:val="000B27C9"/>
    <w:rsid w:val="006F0855"/>
    <w:rsid w:val="00FF421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0D0D74A2"/>
  <w15:docId w15:val="{E76F9C30-5F00-6641-87FB-257EA25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6" w:space="1" w:color="2E5F8A"/>
      </w:pBdr>
      <w:spacing w:before="300" w:after="160"/>
      <w:outlineLvl w:val="1"/>
    </w:pPr>
    <w:rPr>
      <w:b/>
      <w:bCs/>
      <w:color w:val="1F3864"/>
      <w:sz w:val="28"/>
      <w:szCs w:val="28"/>
    </w:rPr>
  </w:style>
  <w:style w:type="paragraph" w:styleId="Heading3">
    <w:name w:val="heading 3"/>
    <w:uiPriority w:val="9"/>
    <w:unhideWhenUsed/>
    <w:qFormat/>
    <w:pPr>
      <w:spacing w:before="220" w:after="120"/>
      <w:outlineLvl w:val="2"/>
    </w:pPr>
    <w:rPr>
      <w:b/>
      <w:bCs/>
      <w:color w:val="2E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1350</Words>
  <Characters>7701</Characters>
  <Application>Microsoft Office Word</Application>
  <DocSecurity>0</DocSecurity>
  <Lines>64</Lines>
  <Paragraphs>18</Paragraphs>
  <ScaleCrop>false</ScaleCrop>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Matteo Galizia</cp:lastModifiedBy>
  <cp:revision>2</cp:revision>
  <dcterms:created xsi:type="dcterms:W3CDTF">2026-05-11T08:01:00Z</dcterms:created>
  <dcterms:modified xsi:type="dcterms:W3CDTF">2026-05-11T08:01:00Z</dcterms:modified>
</cp:coreProperties>
</file>