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Analisi di sicurezza della rete</w:t>
      </w:r>
    </w:p>
    <w:p>
      <w:pPr>
        <w:pStyle w:val="Heading2"/>
      </w:pPr>
      <w:r>
        <w:t>1. Indicatori di Compromissione (IOC)</w:t>
      </w:r>
    </w:p>
    <w:p>
      <w:r>
        <w:t>Sono stati individuati diversi indicatori di compromissione, tra cui:</w:t>
        <w:br/>
        <w:t>- Traffico TCP con flag SYN senza completamento (ACK), indicativo di scansioni di porta o attacchi DoS.</w:t>
        <w:br/>
        <w:t>- Comunicazioni non crittografate su Telnet (porta 23), che espongono le credenziali in chiaro.</w:t>
        <w:br/>
        <w:t>- Presenza di un host denominato 'METASPLOITABLE', associato a vulnerabilità intenzionali.</w:t>
        <w:br/>
        <w:t>- Richieste ARP sospette, potenzialmente indicanti ARP spoofing o attacchi man-in-the-middle (MITM).</w:t>
        <w:br/>
        <w:t>- Utilizzo di SMB (porta 445) con configurazioni potenzialmente insicure, che espongono a ransomware e furto di credenziali.</w:t>
        <w:br/>
        <w:t>- Pacchetti RST e ACK non correlati a flussi di traffico validi, indicativi di attività sospette o manipolazione del traffico.</w:t>
      </w:r>
    </w:p>
    <w:p>
      <w:pPr>
        <w:pStyle w:val="Heading2"/>
      </w:pPr>
      <w:r>
        <w:t>2. Ipotesi sui vettori di attacco</w:t>
      </w:r>
    </w:p>
    <w:p>
      <w:r>
        <w:t>Sulla base degli IOC identificati, i potenziali vettori di attacco includono:</w:t>
        <w:br/>
        <w:t>- Attacchi SMB o NetBIOS, sfruttando vulnerabilità per eseguire codice remoto o accedere a condivisioni di rete.</w:t>
        <w:br/>
        <w:t>- Spoofing ARP o attacchi MITM, mirati a intercettare o manipolare il traffico di rete.</w:t>
        <w:br/>
        <w:t>- Scansioni di porte per mappare i servizi attivi e individuare vulnerabilità sfruttabili.</w:t>
        <w:br/>
        <w:t>- Attacchi brute-force su Telnet, sfruttando credenziali deboli o predefinite.</w:t>
        <w:br/>
        <w:t>- Attacchi DoS tramite SYN flood, con l'obiettivo di sovraccaricare i dispositivi.</w:t>
      </w:r>
    </w:p>
    <w:p>
      <w:pPr>
        <w:pStyle w:val="Heading2"/>
      </w:pPr>
      <w:r>
        <w:t>3. Azioni per mitigazione immediata</w:t>
      </w:r>
    </w:p>
    <w:p>
      <w:r>
        <w:t>Le seguenti azioni sono raccomandate per mitigare gli attacchi attuali:</w:t>
        <w:br/>
        <w:t>- Isolare i dispositivi sospetti, in particolare 192.168.200.150 e 192.168.200.100.</w:t>
        <w:br/>
        <w:t>- Bloccare traffico sulle porte critiche (23, 445, 138, 443) non necessario.</w:t>
        <w:br/>
        <w:t>- Monitorare attivamente il traffico di rete utilizzando strumenti IDS/IPS.</w:t>
        <w:br/>
        <w:t>- Rimuovere o isolare l'host Metasploitable, configurandolo in una VLAN separata.</w:t>
        <w:br/>
        <w:t>- Disabilitare Telnet a favore di SSH e applicare patch di sicurezza ai sistemi.</w:t>
      </w:r>
    </w:p>
    <w:p>
      <w:pPr>
        <w:pStyle w:val="Heading2"/>
      </w:pPr>
      <w:r>
        <w:t>4. Prevenzione di attacchi futuri</w:t>
      </w:r>
    </w:p>
    <w:p>
      <w:r>
        <w:t>Per prevenire attacchi futuri, si consiglia di:</w:t>
        <w:br/>
        <w:t>- Disattivare servizi inutilizzati come NetBIOS e SMB non configurati in modo sicuro.</w:t>
        <w:br/>
        <w:t>- Implementare autenticazione avanzata e crittografia per SMB e altri servizi.</w:t>
        <w:br/>
        <w:t>- Segmentare la rete con VLAN per limitare la propagazione degli attacchi.</w:t>
        <w:br/>
        <w:t>- Eseguire controlli periodici sui log di sistema e traffico DNS per individuare anomalie.</w:t>
        <w:br/>
        <w:t>- Configurare firewall per filtrare il traffico broadcast e ridurre i rischi di attacchi ARP.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