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r w:rsidR="00CB2B34">
        <w:rPr>
          <w:rFonts w:ascii="Cambria" w:hAnsi="Cambria" w:cs="Cambria"/>
          <w:sz w:val="28"/>
          <w:szCs w:val="28"/>
          <w:lang w:val="en-GB"/>
        </w:rPr>
        <w:t>……………………………………………………….18</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3.6.3 </w:t>
      </w:r>
      <w:r w:rsidR="00055197">
        <w:rPr>
          <w:rFonts w:ascii="Cambria" w:hAnsi="Cambria" w:cs="Cambria"/>
          <w:sz w:val="28"/>
          <w:szCs w:val="28"/>
          <w:lang w:val="en-GB"/>
        </w:rPr>
        <w:t>BPMN Diagrams</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1" w:history="1">
        <w:r w:rsidRPr="002A2648">
          <w:rPr>
            <w:rStyle w:val="Collegamentoipertestuale"/>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hyperlink r:id="rId12" w:history="1">
        <w:r w:rsidRPr="002A2648">
          <w:rPr>
            <w:rStyle w:val="Collegamentoipertestuale"/>
            <w:rFonts w:asciiTheme="majorHAnsi" w:hAnsiTheme="majorHAnsi" w:cs="Cambria-Bold"/>
            <w:bCs/>
            <w:sz w:val="26"/>
            <w:szCs w:val="26"/>
            <w:lang w:val="en-GB"/>
          </w:rPr>
          <w:t xml:space="preserve">Google </w:t>
        </w:r>
        <w:proofErr w:type="spellStart"/>
        <w:r w:rsidRPr="002A2648">
          <w:rPr>
            <w:rStyle w:val="Collegamentoipertestuale"/>
            <w:rFonts w:asciiTheme="majorHAnsi" w:hAnsiTheme="majorHAnsi" w:cs="Cambria-Bold"/>
            <w:bCs/>
            <w:sz w:val="26"/>
            <w:szCs w:val="26"/>
            <w:lang w:val="en-GB"/>
          </w:rPr>
          <w:t>Geolocation</w:t>
        </w:r>
        <w:proofErr w:type="spellEnd"/>
        <w:r w:rsidRPr="002A2648">
          <w:rPr>
            <w:rStyle w:val="Collegamentoipertestuale"/>
            <w:rFonts w:asciiTheme="majorHAnsi" w:hAnsiTheme="majorHAnsi" w:cs="Cambria-Bold"/>
            <w:bCs/>
            <w:sz w:val="26"/>
            <w:szCs w:val="26"/>
            <w:lang w:val="en-GB"/>
          </w:rPr>
          <w:t xml:space="preserve">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3" w:history="1">
        <w:r w:rsidRPr="002A2648">
          <w:rPr>
            <w:rStyle w:val="Collegamentoipertestuale"/>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4" w:history="1">
        <w:r w:rsidRPr="002A2648">
          <w:rPr>
            <w:rStyle w:val="Collegamentoipertestuale"/>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C438E6" w:rsidP="00C438E6">
      <w:pPr>
        <w:rPr>
          <w:rFonts w:ascii="Cambria" w:hAnsi="Cambria" w:cs="Cambria"/>
          <w:b/>
          <w:sz w:val="32"/>
          <w:szCs w:val="36"/>
          <w:lang w:val="en-GB"/>
        </w:rPr>
      </w:pPr>
      <w:r>
        <w:rPr>
          <w:noProof/>
          <w:lang w:val="en-GB" w:eastAsia="en-GB"/>
        </w:rPr>
        <w:drawing>
          <wp:inline distT="0" distB="0" distL="0" distR="0" wp14:anchorId="2F7C859F" wp14:editId="571EF289">
            <wp:extent cx="6613451" cy="4678326"/>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14439" cy="4679025"/>
                    </a:xfrm>
                    <a:prstGeom prst="rect">
                      <a:avLst/>
                    </a:prstGeom>
                  </pic:spPr>
                </pic:pic>
              </a:graphicData>
            </a:graphic>
          </wp:inline>
        </w:drawing>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355481"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355481"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355481"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355481"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355481"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355481"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355481"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355481"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355481"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355481"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355481"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355481"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355481"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355481"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355481"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355481"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355481"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D655B1" w:rsidRDefault="002B14BF" w:rsidP="00055197">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CB2B34" w:rsidRDefault="00CB2B34" w:rsidP="00055197">
      <w:pPr>
        <w:ind w:left="2124" w:firstLine="6"/>
        <w:rPr>
          <w:rFonts w:ascii="Cambria" w:hAnsi="Cambria" w:cs="Cambria"/>
          <w:sz w:val="26"/>
          <w:szCs w:val="26"/>
          <w:lang w:val="en-GB"/>
        </w:rPr>
      </w:pPr>
    </w:p>
    <w:p w:rsidR="00CB2B34" w:rsidRDefault="00CB2B34" w:rsidP="00055197">
      <w:pPr>
        <w:ind w:left="2124" w:firstLine="6"/>
        <w:rPr>
          <w:rFonts w:ascii="Cambria" w:hAnsi="Cambria" w:cs="Cambria"/>
          <w:sz w:val="26"/>
          <w:szCs w:val="26"/>
          <w:lang w:val="en-GB"/>
        </w:rPr>
      </w:pPr>
    </w:p>
    <w:p w:rsidR="00CB2B34" w:rsidRPr="00055197" w:rsidRDefault="00CB2B34" w:rsidP="00055197">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C71127">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15pt;height:609.45pt">
            <v:imagedata r:id="rId18"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C71127"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10.15pt;height:684pt">
            <v:imagedata r:id="rId19"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C71127">
      <w:pPr>
        <w:rPr>
          <w:rFonts w:ascii="Cambria" w:hAnsi="Cambria" w:cs="Cambria"/>
          <w:sz w:val="26"/>
          <w:szCs w:val="26"/>
          <w:lang w:val="en-GB"/>
        </w:rPr>
      </w:pPr>
      <w:r>
        <w:rPr>
          <w:rFonts w:ascii="Cambria" w:hAnsi="Cambria" w:cs="Cambria"/>
          <w:noProof/>
          <w:sz w:val="26"/>
          <w:szCs w:val="26"/>
          <w:lang w:val="en-GB" w:eastAsia="en-GB"/>
        </w:rPr>
        <w:pict>
          <v:shape id="_x0000_i1027" type="#_x0000_t75" style="width:482.15pt;height:686.55pt">
            <v:imagedata r:id="rId20"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bookmarkStart w:id="0" w:name="_GoBack"/>
      <w:bookmarkEnd w:id="0"/>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3F043E">
            <w:pPr>
              <w:autoSpaceDE w:val="0"/>
              <w:autoSpaceDN w:val="0"/>
              <w:adjustRightInd w:val="0"/>
              <w:rPr>
                <w:rFonts w:ascii="Cambria" w:hAnsi="Cambria" w:cs="Cambria"/>
                <w:sz w:val="26"/>
                <w:szCs w:val="26"/>
              </w:rPr>
            </w:pPr>
            <w:r>
              <w:rPr>
                <w:rFonts w:ascii="Cambria" w:hAnsi="Cambria" w:cs="Cambria"/>
                <w:sz w:val="26"/>
                <w:szCs w:val="26"/>
              </w:rPr>
              <w:t>14-Oct-17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C152DB" w:rsidRPr="00630621" w:rsidTr="00E75BA6">
        <w:tc>
          <w:tcPr>
            <w:tcW w:w="4536" w:type="dxa"/>
          </w:tcPr>
          <w:p w:rsidR="00C152DB" w:rsidRDefault="00C152DB" w:rsidP="00C152DB">
            <w:pPr>
              <w:rPr>
                <w:rFonts w:asciiTheme="majorHAnsi" w:hAnsiTheme="majorHAnsi"/>
                <w:sz w:val="26"/>
                <w:szCs w:val="26"/>
                <w:lang w:val="en-GB"/>
              </w:rPr>
            </w:pPr>
            <w:r>
              <w:rPr>
                <w:rFonts w:ascii="Cambria" w:hAnsi="Cambria" w:cs="Cambria"/>
                <w:sz w:val="26"/>
                <w:szCs w:val="26"/>
              </w:rPr>
              <w:t>14-Oct-17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Cambria" w:hAnsi="Cambria" w:cs="Cambria"/>
                <w:sz w:val="26"/>
                <w:szCs w:val="26"/>
              </w:rPr>
              <w:t>14-Oct-17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630621" w:rsidP="00C152DB">
            <w:pPr>
              <w:rPr>
                <w:rFonts w:asciiTheme="majorHAnsi" w:hAnsiTheme="majorHAnsi"/>
                <w:sz w:val="26"/>
                <w:szCs w:val="26"/>
                <w:lang w:val="en-GB"/>
              </w:rPr>
            </w:pPr>
          </w:p>
        </w:tc>
        <w:tc>
          <w:tcPr>
            <w:tcW w:w="2433" w:type="dxa"/>
          </w:tcPr>
          <w:p w:rsidR="00630621" w:rsidRPr="00630621" w:rsidRDefault="00630621" w:rsidP="00C152DB">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279" w:rsidRDefault="00953279" w:rsidP="00CC4BF7">
      <w:pPr>
        <w:spacing w:after="0" w:line="240" w:lineRule="auto"/>
      </w:pPr>
      <w:r>
        <w:separator/>
      </w:r>
    </w:p>
  </w:endnote>
  <w:endnote w:type="continuationSeparator" w:id="0">
    <w:p w:rsidR="00953279" w:rsidRDefault="0095327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2DB" w:rsidRDefault="00C152DB">
    <w:pPr>
      <w:pStyle w:val="Pidipagina"/>
      <w:jc w:val="right"/>
    </w:pPr>
  </w:p>
  <w:p w:rsidR="00C152DB" w:rsidRDefault="00C152DB" w:rsidP="00CC4BF7">
    <w:pPr>
      <w:pStyle w:val="Pidipagina"/>
      <w:jc w:val="right"/>
    </w:pPr>
    <w:sdt>
      <w:sdtPr>
        <w:id w:val="-1172792375"/>
        <w:docPartObj>
          <w:docPartGallery w:val="Page Numbers (Bottom of Page)"/>
          <w:docPartUnique/>
        </w:docPartObj>
      </w:sdtPr>
      <w:sdtContent>
        <w:r>
          <w:fldChar w:fldCharType="begin"/>
        </w:r>
        <w:r>
          <w:instrText>PAGE   \* MERGEFORMAT</w:instrText>
        </w:r>
        <w:r>
          <w:fldChar w:fldCharType="separate"/>
        </w:r>
        <w:r w:rsidR="00165F9D">
          <w:rPr>
            <w:noProof/>
          </w:rPr>
          <w:t>27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279" w:rsidRDefault="00953279" w:rsidP="00CC4BF7">
      <w:pPr>
        <w:spacing w:after="0" w:line="240" w:lineRule="auto"/>
      </w:pPr>
      <w:r>
        <w:separator/>
      </w:r>
    </w:p>
  </w:footnote>
  <w:footnote w:type="continuationSeparator" w:id="0">
    <w:p w:rsidR="00953279" w:rsidRDefault="00953279"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5295F"/>
    <w:rsid w:val="00266057"/>
    <w:rsid w:val="002802DE"/>
    <w:rsid w:val="002A2648"/>
    <w:rsid w:val="002B14BF"/>
    <w:rsid w:val="002D6545"/>
    <w:rsid w:val="0032583E"/>
    <w:rsid w:val="00331818"/>
    <w:rsid w:val="00343C3D"/>
    <w:rsid w:val="00390A78"/>
    <w:rsid w:val="003F043E"/>
    <w:rsid w:val="003F2A4F"/>
    <w:rsid w:val="003F40B0"/>
    <w:rsid w:val="00414F5D"/>
    <w:rsid w:val="00415D87"/>
    <w:rsid w:val="00455989"/>
    <w:rsid w:val="00456445"/>
    <w:rsid w:val="00467DC3"/>
    <w:rsid w:val="004774A8"/>
    <w:rsid w:val="004D3BEF"/>
    <w:rsid w:val="004E5AB0"/>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9441F"/>
    <w:rsid w:val="00EA4EE9"/>
    <w:rsid w:val="00EA5FE2"/>
    <w:rsid w:val="00EF5701"/>
    <w:rsid w:val="00F0573B"/>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evelopers.google.com/maps/documentation/geolocation/intr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yahoo.com/weather/"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97637-6FEB-46A4-B5C1-93D95DEE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27</Pages>
  <Words>4199</Words>
  <Characters>23940</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58</cp:revision>
  <dcterms:created xsi:type="dcterms:W3CDTF">2017-10-06T07:24:00Z</dcterms:created>
  <dcterms:modified xsi:type="dcterms:W3CDTF">2017-10-14T12:03:00Z</dcterms:modified>
</cp:coreProperties>
</file>