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-313900</wp:posOffset>
                </wp:positionH>
                <wp:positionV relativeFrom="paragraph">
                  <wp:posOffset>38311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-313900</wp:posOffset>
                </wp:positionH>
                <wp:positionV relativeFrom="paragraph">
                  <wp:posOffset>38311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Kingstone Estampados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Desarrollo de aplicación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Analizar y modelar procesos de gestión de inventario para pymes gráficas, identificando oportunidades de optimización en la administración de insumos y servicios de impresión.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Diseñar y estructurar modelos de datos en MySQL que soporten el control FIFO y permitan una trazabilidad confiable del flujo de materiales y costos asociados.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Desarrollar un backend robusto con operaciones de compras, ventas y órdenes de trabajo, aplicando principios de arquitectura modular y escalable.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Generar reportes estratégicos y de apoyo a la toma de decisiones, mediante indicadores de stock, costos y valorización, orientados a mejorar la rentabilidad y la gestión de recursos en la organización.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Aplicar buenas prácticas de ingeniería de software, como control de versiones en GitHub, documentación técnica y metodologías ágiles, asegurando la mantenibilidad y continuidad del sistema.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En talleres de impresión como Kingstone Estampados, gran parte de la gestión se hace de forma manual o con planillas básicas, lo que dificulta el control de inventario, el cálculo de costos y la planificación de la producción. Esto afecta la eficiencia del negocio y la experiencia del cliente. Nuestro proyecto busca ordenar ese flujo con un sistema web que centralice datos, implemente FIFO y habilite reportes básicos. El caso se sitúa en una pyme de la Región Metropolitana y es pertinente para Ingeniería en Informática porque aplica base de datos, backend y buenas prácticas para resolver un problema real del rubro gráfico.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ind w:lef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Objetivo general: 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desarrollar un sistema web de gestión de inventario y costos con control FIFO, que permita a un taller de impresión optimizar insumos y mejorar su visibilidad operativa.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Objetivos específicos: 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diseñar el modelo de datos en MySQL; construir un backend que gestione compras/ventas/OTs; habilitar un frontend para operar inventario; generar reportes de costos y stock; documentar y versionar para asegurar trazabilidad. Estamos a mitad de avance, por lo que los objetivos se siguen ejecutando de forma incremental.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ind w:left="0" w:firstLine="0"/>
              <w:rPr>
                <w:rFonts w:ascii="Calibri" w:cs="Calibri" w:eastAsia="Calibri" w:hAnsi="Calibri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Trabajamos con una metodología híbrida con sprints cortos: etapas claras (análisis, diseño, desarrollo, pruebas, implementación) pero con iteraciones para ajustar sobre la marcha. Esto nos permite entregar valor parcial y reducir riesgos. Tecnologías base: MySQL, Node.js, Angular/Ionic, Docker y GitHub para estandarizar el entorno y la colaboración.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ind w:left="0" w:firstLine="0"/>
              <w:rPr>
                <w:rFonts w:ascii="Calibri" w:cs="Calibri" w:eastAsia="Calibri" w:hAnsi="Calibri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Avanzamos con la mitad del alcance. Según el último corte de Fase 2, se realizaron los casos de uso 01, 03, 04, 05, 13, 14, 15, 16, 17; además, el frontend quedó diseñado en base al prototipo y el backend ya resuelve registro/autenticación/gestión de usuarios e inventario. El plan mantiene el resto de CU en progreso, priorizando completar OT con consumo de insumos y reportes.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ind w:left="0" w:firstLine="0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Incluiremos un video mostrando lo avanzado y la presentación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240" w:before="240" w:lineRule="auto"/>
              <w:ind w:left="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El proyecto confirmó nuestro interés en backend, diseño de datos y operación con contenedores. Terminada la segunda mitad, queremos profundizar en reportes y métricas operativas, y proyectarnos hacia roles de desarrollo de sistemas de gestión para pymes. </w:t>
              <w:br w:type="textWrapping"/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3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34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oAUbxkjKv9M6rfMXv/pf+a+9kQ==">CgMxLjA4AHIhMU1oRFJSU0tsQXlqX3NvWHVkRkVhRlJyZFNmU2FpajR0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