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EE4C" w14:textId="4082CCA0" w:rsidR="00B229C1" w:rsidRDefault="00D12A27" w:rsidP="00B229C1">
      <w:pPr>
        <w:pStyle w:val="Titre"/>
        <w:spacing w:after="240"/>
        <w:rPr>
          <w:b/>
          <w:bCs/>
          <w:color w:val="C00000"/>
          <w:sz w:val="40"/>
          <w:szCs w:val="40"/>
          <w:u w:val="single"/>
        </w:rPr>
      </w:pPr>
      <w:r w:rsidRPr="00B229C1">
        <w:rPr>
          <w:b/>
          <w:bCs/>
          <w:color w:val="C00000"/>
          <w:sz w:val="40"/>
          <w:szCs w:val="40"/>
          <w:u w:val="single"/>
        </w:rPr>
        <w:t>Documentation technique</w:t>
      </w:r>
      <w:r w:rsidR="00B229C1" w:rsidRPr="00B229C1">
        <w:rPr>
          <w:b/>
          <w:bCs/>
          <w:color w:val="C00000"/>
          <w:sz w:val="40"/>
          <w:szCs w:val="40"/>
          <w:u w:val="single"/>
        </w:rPr>
        <w:t xml:space="preserve"> : Power BI </w:t>
      </w:r>
      <w:r w:rsidR="00B229C1">
        <w:rPr>
          <w:b/>
          <w:bCs/>
          <w:color w:val="C00000"/>
          <w:sz w:val="40"/>
          <w:szCs w:val="40"/>
          <w:u w:val="single"/>
        </w:rPr>
        <w:t>–</w:t>
      </w:r>
      <w:r w:rsidR="00B229C1" w:rsidRPr="00B229C1">
        <w:rPr>
          <w:b/>
          <w:bCs/>
          <w:color w:val="C00000"/>
          <w:sz w:val="40"/>
          <w:szCs w:val="40"/>
          <w:u w:val="single"/>
        </w:rPr>
        <w:t xml:space="preserve"> ENEDIS</w:t>
      </w:r>
    </w:p>
    <w:p w14:paraId="4B046CD3" w14:textId="4E0ACB02" w:rsidR="00737384" w:rsidRPr="00805EEA" w:rsidRDefault="00B229C1" w:rsidP="00B229C1">
      <w:pPr>
        <w:pStyle w:val="Titre"/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 w:rsidRPr="00805EEA">
        <w:rPr>
          <w:rFonts w:asciiTheme="minorHAnsi" w:hAnsiTheme="minorHAnsi" w:cstheme="minorHAnsi"/>
          <w:b/>
          <w:bCs/>
          <w:color w:val="002060"/>
          <w:sz w:val="28"/>
          <w:szCs w:val="28"/>
        </w:rPr>
        <w:t>I</w:t>
      </w:r>
      <w:r w:rsidR="00D12A27" w:rsidRPr="00805EEA">
        <w:rPr>
          <w:rFonts w:asciiTheme="minorHAnsi" w:hAnsiTheme="minorHAnsi" w:cstheme="minorHAnsi"/>
          <w:b/>
          <w:bCs/>
          <w:color w:val="002060"/>
          <w:sz w:val="28"/>
          <w:szCs w:val="28"/>
        </w:rPr>
        <w:t>. Architecture du modèle</w:t>
      </w:r>
    </w:p>
    <w:p w14:paraId="03CFBCB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Le modèle de données repose sur une </w:t>
      </w:r>
      <w:r w:rsidRPr="00B229C1">
        <w:rPr>
          <w:rFonts w:asciiTheme="minorHAnsi" w:hAnsiTheme="minorHAnsi" w:cstheme="minorHAnsi"/>
          <w:b/>
          <w:bCs/>
          <w:sz w:val="24"/>
          <w:szCs w:val="24"/>
        </w:rPr>
        <w:t>architecture en schéma en étoile</w:t>
      </w:r>
      <w:r w:rsidRPr="00B229C1">
        <w:rPr>
          <w:rFonts w:asciiTheme="minorHAnsi" w:hAnsiTheme="minorHAnsi" w:cstheme="minorHAnsi"/>
          <w:sz w:val="24"/>
          <w:szCs w:val="24"/>
        </w:rPr>
        <w:t xml:space="preserve">, spécifiquement conçue pour le </w:t>
      </w:r>
      <w:proofErr w:type="spellStart"/>
      <w:r w:rsidRPr="00B229C1">
        <w:rPr>
          <w:rFonts w:asciiTheme="minorHAnsi" w:hAnsiTheme="minorHAnsi" w:cstheme="minorHAnsi"/>
          <w:sz w:val="24"/>
          <w:szCs w:val="24"/>
        </w:rPr>
        <w:t>reporting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 décisionnel sous Power BI. Cette architecture garantit :</w:t>
      </w:r>
    </w:p>
    <w:p w14:paraId="5388493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des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performances de requêtage élevées,</w:t>
      </w:r>
    </w:p>
    <w:p w14:paraId="2E6DC9C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une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lecture simple du modèle,</w:t>
      </w:r>
    </w:p>
    <w:p w14:paraId="44E2A85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une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maintenance facilitée.</w:t>
      </w:r>
    </w:p>
    <w:p w14:paraId="4661E628" w14:textId="50B8F0F9" w:rsidR="00737384" w:rsidRPr="00B229C1" w:rsidRDefault="00D12A27">
      <w:pPr>
        <w:pStyle w:val="Titre2"/>
        <w:rPr>
          <w:rFonts w:asciiTheme="minorHAnsi" w:hAnsiTheme="minorHAnsi" w:cstheme="minorHAnsi"/>
          <w:color w:val="0070C0"/>
          <w:sz w:val="24"/>
          <w:szCs w:val="24"/>
        </w:rPr>
      </w:pPr>
      <w:r w:rsidRPr="00B229C1">
        <w:rPr>
          <w:rFonts w:asciiTheme="minorHAnsi" w:hAnsiTheme="minorHAnsi" w:cstheme="minorHAnsi"/>
          <w:color w:val="0070C0"/>
          <w:sz w:val="24"/>
          <w:szCs w:val="24"/>
        </w:rPr>
        <w:t xml:space="preserve">1. Table de faits — </w:t>
      </w:r>
      <w:proofErr w:type="spellStart"/>
      <w:r w:rsidRPr="00B229C1">
        <w:rPr>
          <w:rFonts w:asciiTheme="minorHAnsi" w:hAnsiTheme="minorHAnsi" w:cstheme="minorHAnsi"/>
          <w:color w:val="0070C0"/>
          <w:sz w:val="24"/>
          <w:szCs w:val="24"/>
        </w:rPr>
        <w:t>FACT_dpe</w:t>
      </w:r>
      <w:proofErr w:type="spellEnd"/>
    </w:p>
    <w:p w14:paraId="34C7555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La table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 constitue la table centrale du modèle. Elle stocke les données au niveau le plus fin : le diagnostic de performance énergétique associé à un logement.</w:t>
      </w:r>
    </w:p>
    <w:p w14:paraId="5E22998A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B229C1">
        <w:rPr>
          <w:rFonts w:asciiTheme="minorHAnsi" w:hAnsiTheme="minorHAnsi" w:cstheme="minorHAnsi"/>
          <w:color w:val="7030A0"/>
        </w:rPr>
        <w:t>Mesures de consommation énergétique</w:t>
      </w:r>
    </w:p>
    <w:p w14:paraId="70692B48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Consommations détaillées par usage, exprimées en :</w:t>
      </w:r>
    </w:p>
    <w:p w14:paraId="0DAE55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énergie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finale (EF),</w:t>
      </w:r>
    </w:p>
    <w:p w14:paraId="7410229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énergie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primaire (EP).</w:t>
      </w:r>
    </w:p>
    <w:p w14:paraId="2A0B0B10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b/>
          <w:bCs/>
          <w:color w:val="7030A0"/>
          <w:sz w:val="24"/>
          <w:szCs w:val="24"/>
        </w:rPr>
        <w:t>Usages couverts :</w:t>
      </w:r>
    </w:p>
    <w:p w14:paraId="04B43E5B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chauffage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>,</w:t>
      </w:r>
    </w:p>
    <w:p w14:paraId="11C8DEDC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éclairage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>,</w:t>
      </w:r>
    </w:p>
    <w:p w14:paraId="621A61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eau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chaude sanitaire,</w:t>
      </w:r>
    </w:p>
    <w:p w14:paraId="2918AC0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refroidissement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>,</w:t>
      </w:r>
    </w:p>
    <w:p w14:paraId="328D489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auxiliaires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>.</w:t>
      </w:r>
    </w:p>
    <w:p w14:paraId="71258DFB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B229C1">
        <w:rPr>
          <w:rFonts w:asciiTheme="minorHAnsi" w:hAnsiTheme="minorHAnsi" w:cstheme="minorHAnsi"/>
          <w:color w:val="7030A0"/>
        </w:rPr>
        <w:t>Mesures de coûts</w:t>
      </w:r>
    </w:p>
    <w:p w14:paraId="48C4D5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Coûts estimés par usage énergétique.</w:t>
      </w:r>
    </w:p>
    <w:p w14:paraId="4250267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Coût global agrégé : </w:t>
      </w:r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Cout_5_usages</w:t>
      </w:r>
      <w:r w:rsidRPr="00B229C1">
        <w:rPr>
          <w:rFonts w:asciiTheme="minorHAnsi" w:hAnsiTheme="minorHAnsi" w:cstheme="minorHAnsi"/>
          <w:sz w:val="24"/>
          <w:szCs w:val="24"/>
        </w:rPr>
        <w:t>.</w:t>
      </w:r>
    </w:p>
    <w:p w14:paraId="17E15C2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B229C1">
        <w:rPr>
          <w:rFonts w:asciiTheme="minorHAnsi" w:hAnsiTheme="minorHAnsi" w:cstheme="minorHAnsi"/>
          <w:color w:val="7030A0"/>
        </w:rPr>
        <w:t>Métriques physiques</w:t>
      </w:r>
    </w:p>
    <w:p w14:paraId="3B984C3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surface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_habitable_logement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 : utilisée pour les pondérations et les calculs de ratios.</w:t>
      </w:r>
    </w:p>
    <w:p w14:paraId="5CB06E8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B229C1">
        <w:rPr>
          <w:rFonts w:asciiTheme="minorHAnsi" w:hAnsiTheme="minorHAnsi" w:cstheme="minorHAnsi"/>
          <w:color w:val="7030A0"/>
        </w:rPr>
        <w:t>Données temporelles</w:t>
      </w:r>
    </w:p>
    <w:p w14:paraId="778C689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date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_etablissement_dpe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,</w:t>
      </w:r>
    </w:p>
    <w:p w14:paraId="609529E4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annee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_diagnostique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.</w:t>
      </w:r>
    </w:p>
    <w:p w14:paraId="557503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Ces champs permettent les analyses chronologiques et comparatives.</w:t>
      </w:r>
    </w:p>
    <w:p w14:paraId="05066AD3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B229C1">
        <w:rPr>
          <w:rFonts w:asciiTheme="minorHAnsi" w:hAnsiTheme="minorHAnsi" w:cstheme="minorHAnsi"/>
          <w:color w:val="7030A0"/>
        </w:rPr>
        <w:t>Clés de liaison</w:t>
      </w:r>
    </w:p>
    <w:p w14:paraId="623CE5F6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Les jointures avec les tables de dimensions sont assurées par les identifiants suivants :</w:t>
      </w:r>
    </w:p>
    <w:p w14:paraId="554EE8E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id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_lieu</w:t>
      </w:r>
      <w:proofErr w:type="spellEnd"/>
    </w:p>
    <w:p w14:paraId="4F48E9C3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id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_batiment</w:t>
      </w:r>
      <w:proofErr w:type="spellEnd"/>
    </w:p>
    <w:p w14:paraId="3B3CB88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id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_performance</w:t>
      </w:r>
      <w:proofErr w:type="spellEnd"/>
    </w:p>
    <w:p w14:paraId="237EFE76" w14:textId="7BCBDE6B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id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_logement</w:t>
      </w:r>
      <w:proofErr w:type="spellEnd"/>
    </w:p>
    <w:p w14:paraId="5720967F" w14:textId="77777777" w:rsidR="00B229C1" w:rsidRPr="00B229C1" w:rsidRDefault="00B229C1" w:rsidP="00B229C1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59F4C749" w14:textId="207B3414" w:rsidR="00737384" w:rsidRPr="00B229C1" w:rsidRDefault="00236A79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lastRenderedPageBreak/>
        <w:t>2</w:t>
      </w:r>
      <w:r w:rsidR="00D12A27" w:rsidRPr="00B229C1">
        <w:rPr>
          <w:rFonts w:asciiTheme="minorHAnsi" w:hAnsiTheme="minorHAnsi" w:cstheme="minorHAnsi"/>
          <w:color w:val="0070C0"/>
          <w:sz w:val="24"/>
          <w:szCs w:val="24"/>
        </w:rPr>
        <w:t>. Tables de dimensions</w:t>
      </w:r>
    </w:p>
    <w:p w14:paraId="1E8E343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Les tables de dimensions définissent les axes d'analyse du modèle.</w:t>
      </w:r>
    </w:p>
    <w:p w14:paraId="507686D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proofErr w:type="spellStart"/>
      <w:r w:rsidRPr="00B229C1">
        <w:rPr>
          <w:rFonts w:asciiTheme="minorHAnsi" w:hAnsiTheme="minorHAnsi" w:cstheme="minorHAnsi"/>
          <w:color w:val="7030A0"/>
        </w:rPr>
        <w:t>DIM_lieu</w:t>
      </w:r>
      <w:proofErr w:type="spellEnd"/>
      <w:r w:rsidRPr="00B229C1">
        <w:rPr>
          <w:rFonts w:asciiTheme="minorHAnsi" w:hAnsiTheme="minorHAnsi" w:cstheme="minorHAnsi"/>
          <w:color w:val="7030A0"/>
        </w:rPr>
        <w:t xml:space="preserve"> — Axe géographique</w:t>
      </w:r>
    </w:p>
    <w:p w14:paraId="6E1EA90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Analyse spatiale et administrative des diagnostics.</w:t>
      </w:r>
    </w:p>
    <w:p w14:paraId="294899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  <w:proofErr w:type="gramEnd"/>
    </w:p>
    <w:p w14:paraId="61465ED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code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_postal</w:t>
      </w:r>
      <w:proofErr w:type="spellEnd"/>
    </w:p>
    <w:p w14:paraId="63B0F8A1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proofErr w:type="spellStart"/>
      <w:r w:rsidRPr="00B229C1">
        <w:rPr>
          <w:rFonts w:asciiTheme="minorHAnsi" w:hAnsiTheme="minorHAnsi" w:cstheme="minorHAnsi"/>
          <w:color w:val="7030A0"/>
        </w:rPr>
        <w:t>DIM_batiment</w:t>
      </w:r>
      <w:proofErr w:type="spellEnd"/>
      <w:r w:rsidRPr="00B229C1">
        <w:rPr>
          <w:rFonts w:asciiTheme="minorHAnsi" w:hAnsiTheme="minorHAnsi" w:cstheme="minorHAnsi"/>
          <w:color w:val="7030A0"/>
        </w:rPr>
        <w:t xml:space="preserve"> — Axe typologique</w:t>
      </w:r>
    </w:p>
    <w:p w14:paraId="173F1DD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Segmentation des biens selon leur nature constructive.</w:t>
      </w:r>
    </w:p>
    <w:p w14:paraId="6B699E4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type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_batiment</w:t>
      </w:r>
      <w:proofErr w:type="spellEnd"/>
    </w:p>
    <w:p w14:paraId="4DE9A7FD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proofErr w:type="spellStart"/>
      <w:r w:rsidRPr="00B229C1">
        <w:rPr>
          <w:rFonts w:asciiTheme="minorHAnsi" w:hAnsiTheme="minorHAnsi" w:cstheme="minorHAnsi"/>
          <w:color w:val="7030A0"/>
        </w:rPr>
        <w:t>DIM_performance</w:t>
      </w:r>
      <w:proofErr w:type="spellEnd"/>
      <w:r w:rsidRPr="00B229C1">
        <w:rPr>
          <w:rFonts w:asciiTheme="minorHAnsi" w:hAnsiTheme="minorHAnsi" w:cstheme="minorHAnsi"/>
          <w:color w:val="7030A0"/>
        </w:rPr>
        <w:t xml:space="preserve"> — Axe énergétique</w:t>
      </w:r>
    </w:p>
    <w:p w14:paraId="17DE768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Référentiel des performances énergétiques.</w:t>
      </w:r>
    </w:p>
    <w:p w14:paraId="4C767FF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etiquette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_dpe</w:t>
      </w:r>
      <w:proofErr w:type="spellEnd"/>
    </w:p>
    <w:p w14:paraId="7918464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type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_energie_n1</w:t>
      </w:r>
    </w:p>
    <w:p w14:paraId="334BFA7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proofErr w:type="spellStart"/>
      <w:r w:rsidRPr="00B229C1">
        <w:rPr>
          <w:rFonts w:asciiTheme="minorHAnsi" w:hAnsiTheme="minorHAnsi" w:cstheme="minorHAnsi"/>
          <w:color w:val="7030A0"/>
        </w:rPr>
        <w:t>DIM_logement</w:t>
      </w:r>
      <w:proofErr w:type="spellEnd"/>
      <w:r w:rsidRPr="00B229C1">
        <w:rPr>
          <w:rFonts w:asciiTheme="minorHAnsi" w:hAnsiTheme="minorHAnsi" w:cstheme="minorHAnsi"/>
          <w:color w:val="7030A0"/>
        </w:rPr>
        <w:t xml:space="preserve"> — Axe caractéristiques du logement</w:t>
      </w:r>
    </w:p>
    <w:p w14:paraId="04D377D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Description structurelle et localisation précise.</w:t>
      </w:r>
    </w:p>
    <w:p w14:paraId="3FA8AB0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annee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_construction</w:t>
      </w:r>
      <w:proofErr w:type="spellEnd"/>
    </w:p>
    <w:p w14:paraId="44B5E90F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adresse</w:t>
      </w:r>
      <w:proofErr w:type="gramEnd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_ban</w:t>
      </w:r>
      <w:proofErr w:type="spellEnd"/>
    </w:p>
    <w:p w14:paraId="11BAC32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coordonnées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géographiques (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x_ban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y_ban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).</w:t>
      </w:r>
    </w:p>
    <w:p w14:paraId="44DDC626" w14:textId="3BD59EEA" w:rsidR="00737384" w:rsidRPr="00B229C1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 w:rsidRPr="00B229C1">
        <w:rPr>
          <w:rFonts w:asciiTheme="minorHAnsi" w:hAnsiTheme="minorHAnsi" w:cstheme="minorHAnsi"/>
          <w:color w:val="0070C0"/>
          <w:sz w:val="24"/>
          <w:szCs w:val="24"/>
        </w:rPr>
        <w:t>3</w:t>
      </w:r>
      <w:r w:rsidR="00236A79">
        <w:rPr>
          <w:rFonts w:asciiTheme="minorHAnsi" w:hAnsiTheme="minorHAnsi" w:cstheme="minorHAnsi"/>
          <w:color w:val="0070C0"/>
          <w:sz w:val="24"/>
          <w:szCs w:val="24"/>
        </w:rPr>
        <w:t>.</w:t>
      </w:r>
      <w:r w:rsidRPr="00B229C1">
        <w:rPr>
          <w:rFonts w:asciiTheme="minorHAnsi" w:hAnsiTheme="minorHAnsi" w:cstheme="minorHAnsi"/>
          <w:color w:val="0070C0"/>
          <w:sz w:val="24"/>
          <w:szCs w:val="24"/>
        </w:rPr>
        <w:t xml:space="preserve"> Relations entre les tables</w:t>
      </w:r>
    </w:p>
    <w:p w14:paraId="0B0779D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Le modèle utilise exclusivement des relations de cardinalité </w:t>
      </w:r>
      <w:r w:rsidRPr="00B229C1">
        <w:rPr>
          <w:rFonts w:asciiTheme="minorHAnsi" w:hAnsiTheme="minorHAnsi" w:cstheme="minorHAnsi"/>
          <w:b/>
          <w:bCs/>
          <w:sz w:val="24"/>
          <w:szCs w:val="24"/>
        </w:rPr>
        <w:t>Un-à-Plusieurs (</w:t>
      </w:r>
      <w:proofErr w:type="gramStart"/>
      <w:r w:rsidRPr="00B229C1">
        <w:rPr>
          <w:rFonts w:asciiTheme="minorHAnsi" w:hAnsiTheme="minorHAnsi" w:cstheme="minorHAnsi"/>
          <w:b/>
          <w:bCs/>
          <w:sz w:val="24"/>
          <w:szCs w:val="24"/>
        </w:rPr>
        <w:t>1:*</w:t>
      </w:r>
      <w:proofErr w:type="gramEnd"/>
      <w:r w:rsidRPr="00B229C1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Pr="00B229C1"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38DB203A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les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tables de dimensions représentent le côté « 1 »,</w:t>
      </w:r>
    </w:p>
    <w:p w14:paraId="49701E1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la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table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 représente le côté « * ».</w:t>
      </w:r>
    </w:p>
    <w:p w14:paraId="6D3F746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La propagation des filtres s'effectue des dimensions vers la table de faits.</w:t>
      </w:r>
    </w:p>
    <w:p w14:paraId="36628783" w14:textId="2FD2EDE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 w:rsidRPr="00805EEA">
        <w:rPr>
          <w:rFonts w:asciiTheme="minorHAnsi" w:hAnsiTheme="minorHAnsi" w:cstheme="minorHAnsi"/>
          <w:color w:val="002060"/>
          <w:sz w:val="28"/>
          <w:szCs w:val="28"/>
        </w:rPr>
        <w:t>II</w:t>
      </w:r>
      <w:r w:rsidR="00D12A27" w:rsidRPr="00805EEA">
        <w:rPr>
          <w:rFonts w:asciiTheme="minorHAnsi" w:hAnsiTheme="minorHAnsi" w:cstheme="minorHAnsi"/>
          <w:color w:val="002060"/>
          <w:sz w:val="28"/>
          <w:szCs w:val="28"/>
        </w:rPr>
        <w:t xml:space="preserve">. Sécurité des données — Row </w:t>
      </w:r>
      <w:proofErr w:type="spellStart"/>
      <w:r w:rsidR="00D12A27" w:rsidRPr="00805EEA">
        <w:rPr>
          <w:rFonts w:asciiTheme="minorHAnsi" w:hAnsiTheme="minorHAnsi" w:cstheme="minorHAnsi"/>
          <w:color w:val="002060"/>
          <w:sz w:val="28"/>
          <w:szCs w:val="28"/>
        </w:rPr>
        <w:t>Level</w:t>
      </w:r>
      <w:proofErr w:type="spellEnd"/>
      <w:r w:rsidR="00D12A27" w:rsidRPr="00805EEA">
        <w:rPr>
          <w:rFonts w:asciiTheme="minorHAnsi" w:hAnsiTheme="minorHAnsi" w:cstheme="minorHAnsi"/>
          <w:color w:val="002060"/>
          <w:sz w:val="28"/>
          <w:szCs w:val="28"/>
        </w:rPr>
        <w:t xml:space="preserve"> Security (RLS)</w:t>
      </w:r>
    </w:p>
    <w:p w14:paraId="7CF587A0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Le modèle est conçu pour intégrer une sécurité au niveau des lignes.</w:t>
      </w:r>
    </w:p>
    <w:p w14:paraId="7260F990" w14:textId="77777777" w:rsidR="00737384" w:rsidRPr="00805EEA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805EEA">
        <w:rPr>
          <w:rFonts w:asciiTheme="minorHAnsi" w:hAnsiTheme="minorHAnsi" w:cstheme="minorHAnsi"/>
          <w:color w:val="7030A0"/>
        </w:rPr>
        <w:t>Principe</w:t>
      </w:r>
    </w:p>
    <w:p w14:paraId="0D52EDA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Table support :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DIM_lieu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.</w:t>
      </w:r>
    </w:p>
    <w:p w14:paraId="41738ECF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Colonnes utilisées : </w:t>
      </w:r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  <w:r w:rsidRPr="00B229C1">
        <w:rPr>
          <w:rFonts w:asciiTheme="minorHAnsi" w:hAnsiTheme="minorHAnsi" w:cstheme="minorHAnsi"/>
          <w:sz w:val="24"/>
          <w:szCs w:val="24"/>
        </w:rPr>
        <w:t xml:space="preserve"> et/ou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code_postal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.</w:t>
      </w:r>
    </w:p>
    <w:p w14:paraId="093A7A10" w14:textId="77777777" w:rsidR="00737384" w:rsidRPr="00805EEA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805EEA">
        <w:rPr>
          <w:rFonts w:asciiTheme="minorHAnsi" w:hAnsiTheme="minorHAnsi" w:cstheme="minorHAnsi"/>
          <w:color w:val="7030A0"/>
        </w:rPr>
        <w:t>Fonctionnement</w:t>
      </w:r>
    </w:p>
    <w:p w14:paraId="236969A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Lorsqu'un rôle utilisateur applique un filtre sur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DIM_lieu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1E068A6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le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filtrage se propage automatiquement à </w:t>
      </w:r>
      <w:proofErr w:type="spellStart"/>
      <w:r w:rsidRPr="00B229C1"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proofErr w:type="spellEnd"/>
      <w:r w:rsidRPr="00B229C1">
        <w:rPr>
          <w:rFonts w:asciiTheme="minorHAnsi" w:hAnsiTheme="minorHAnsi" w:cstheme="minorHAnsi"/>
          <w:sz w:val="24"/>
          <w:szCs w:val="24"/>
        </w:rPr>
        <w:t>,</w:t>
      </w:r>
    </w:p>
    <w:p w14:paraId="7BF85261" w14:textId="20D936FE" w:rsidR="00737384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B229C1">
        <w:rPr>
          <w:rFonts w:asciiTheme="minorHAnsi" w:hAnsiTheme="minorHAnsi" w:cstheme="minorHAnsi"/>
          <w:sz w:val="24"/>
          <w:szCs w:val="24"/>
        </w:rPr>
        <w:t>l'utilisateur</w:t>
      </w:r>
      <w:proofErr w:type="gramEnd"/>
      <w:r w:rsidRPr="00B229C1">
        <w:rPr>
          <w:rFonts w:asciiTheme="minorHAnsi" w:hAnsiTheme="minorHAnsi" w:cstheme="minorHAnsi"/>
          <w:sz w:val="24"/>
          <w:szCs w:val="24"/>
        </w:rPr>
        <w:t xml:space="preserve"> ne visualise que les données correspondant à son périmètre géographique autorisé.</w:t>
      </w:r>
    </w:p>
    <w:p w14:paraId="481F6D4A" w14:textId="77777777" w:rsidR="00805EEA" w:rsidRPr="00B229C1" w:rsidRDefault="00805EEA" w:rsidP="00805EEA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007D3F97" w14:textId="5F556B7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 w:rsidRPr="00805EEA">
        <w:rPr>
          <w:rFonts w:asciiTheme="minorHAnsi" w:hAnsiTheme="minorHAnsi" w:cstheme="minorHAnsi"/>
          <w:color w:val="002060"/>
          <w:sz w:val="28"/>
          <w:szCs w:val="28"/>
        </w:rPr>
        <w:lastRenderedPageBreak/>
        <w:t>III</w:t>
      </w:r>
      <w:r w:rsidR="00D12A27" w:rsidRPr="00805EEA">
        <w:rPr>
          <w:rFonts w:asciiTheme="minorHAnsi" w:hAnsiTheme="minorHAnsi" w:cstheme="minorHAnsi"/>
          <w:color w:val="002060"/>
          <w:sz w:val="28"/>
          <w:szCs w:val="28"/>
        </w:rPr>
        <w:t>. Performance du modèle</w:t>
      </w:r>
    </w:p>
    <w:p w14:paraId="5FFD2A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L'efficacité du modèle repose sur trois éléments structurants.</w:t>
      </w:r>
    </w:p>
    <w:p w14:paraId="0E46A051" w14:textId="425A5382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 w:rsidRPr="00236A79">
        <w:rPr>
          <w:rFonts w:asciiTheme="minorHAnsi" w:hAnsiTheme="minorHAnsi" w:cstheme="minorHAnsi"/>
          <w:color w:val="0070C0"/>
          <w:sz w:val="24"/>
          <w:szCs w:val="24"/>
        </w:rPr>
        <w:t>1</w:t>
      </w:r>
      <w:r w:rsidR="00236A79" w:rsidRPr="00236A79">
        <w:rPr>
          <w:rFonts w:asciiTheme="minorHAnsi" w:hAnsiTheme="minorHAnsi" w:cstheme="minorHAnsi"/>
          <w:color w:val="0070C0"/>
          <w:sz w:val="24"/>
          <w:szCs w:val="24"/>
        </w:rPr>
        <w:t>.</w:t>
      </w:r>
      <w:r w:rsidRPr="00236A79">
        <w:rPr>
          <w:rFonts w:asciiTheme="minorHAnsi" w:hAnsiTheme="minorHAnsi" w:cstheme="minorHAnsi"/>
          <w:color w:val="0070C0"/>
          <w:sz w:val="24"/>
          <w:szCs w:val="24"/>
        </w:rPr>
        <w:t xml:space="preserve"> Architecture en étoile</w:t>
      </w:r>
    </w:p>
    <w:p w14:paraId="4680FE5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Optimisation native pour les moteurs tabulaires.</w:t>
      </w:r>
    </w:p>
    <w:p w14:paraId="5DA960C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Absence de relations complexes de type flocon.</w:t>
      </w:r>
    </w:p>
    <w:p w14:paraId="45F2E66C" w14:textId="0FDF126B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 w:rsidRPr="00236A79">
        <w:rPr>
          <w:rFonts w:asciiTheme="minorHAnsi" w:hAnsiTheme="minorHAnsi" w:cstheme="minorHAnsi"/>
          <w:color w:val="0070C0"/>
          <w:sz w:val="24"/>
          <w:szCs w:val="24"/>
        </w:rPr>
        <w:t>2</w:t>
      </w:r>
      <w:r w:rsidR="00236A79" w:rsidRPr="00236A79">
        <w:rPr>
          <w:rFonts w:asciiTheme="minorHAnsi" w:hAnsiTheme="minorHAnsi" w:cstheme="minorHAnsi"/>
          <w:color w:val="0070C0"/>
          <w:sz w:val="24"/>
          <w:szCs w:val="24"/>
        </w:rPr>
        <w:t>.</w:t>
      </w:r>
      <w:r w:rsidRPr="00236A79">
        <w:rPr>
          <w:rFonts w:asciiTheme="minorHAnsi" w:hAnsiTheme="minorHAnsi" w:cstheme="minorHAnsi"/>
          <w:color w:val="0070C0"/>
          <w:sz w:val="24"/>
          <w:szCs w:val="24"/>
        </w:rPr>
        <w:t xml:space="preserve"> Granularité fine</w:t>
      </w:r>
    </w:p>
    <w:p w14:paraId="127E8A3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Données conservées au niveau diagnostic / logement.</w:t>
      </w:r>
    </w:p>
    <w:p w14:paraId="1B881BD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Agrégations flexibles sans perte de précision.</w:t>
      </w:r>
    </w:p>
    <w:p w14:paraId="4FA00C99" w14:textId="327858A8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 w:rsidRPr="00236A79">
        <w:rPr>
          <w:rFonts w:asciiTheme="minorHAnsi" w:hAnsiTheme="minorHAnsi" w:cstheme="minorHAnsi"/>
          <w:color w:val="0070C0"/>
          <w:sz w:val="24"/>
          <w:szCs w:val="24"/>
        </w:rPr>
        <w:t>3</w:t>
      </w:r>
      <w:r w:rsidR="00236A79" w:rsidRPr="00236A79">
        <w:rPr>
          <w:rFonts w:asciiTheme="minorHAnsi" w:hAnsiTheme="minorHAnsi" w:cstheme="minorHAnsi"/>
          <w:color w:val="0070C0"/>
          <w:sz w:val="24"/>
          <w:szCs w:val="24"/>
        </w:rPr>
        <w:t>.</w:t>
      </w:r>
      <w:r w:rsidRPr="00236A79">
        <w:rPr>
          <w:rFonts w:asciiTheme="minorHAnsi" w:hAnsiTheme="minorHAnsi" w:cstheme="minorHAnsi"/>
          <w:color w:val="0070C0"/>
          <w:sz w:val="24"/>
          <w:szCs w:val="24"/>
        </w:rPr>
        <w:t xml:space="preserve"> Optimisation des mesures</w:t>
      </w:r>
    </w:p>
    <w:p w14:paraId="4A10241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Centralisation des métriques numériques dans la table de faits.</w:t>
      </w:r>
    </w:p>
    <w:p w14:paraId="684596B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>Agrégations simples et peu coûteuses en ressources.</w:t>
      </w:r>
    </w:p>
    <w:p w14:paraId="50B4D1B0" w14:textId="77777777" w:rsidR="00737384" w:rsidRPr="00805EEA" w:rsidRDefault="00D12A27" w:rsidP="00B229C1">
      <w:pPr>
        <w:pStyle w:val="Titre1"/>
        <w:spacing w:after="0"/>
        <w:rPr>
          <w:rFonts w:asciiTheme="minorHAnsi" w:hAnsiTheme="minorHAnsi" w:cstheme="minorHAnsi"/>
          <w:color w:val="C00000"/>
          <w:sz w:val="28"/>
          <w:szCs w:val="28"/>
        </w:rPr>
      </w:pPr>
      <w:r w:rsidRPr="00805EEA">
        <w:rPr>
          <w:rFonts w:asciiTheme="minorHAnsi" w:hAnsiTheme="minorHAnsi" w:cstheme="minorHAnsi"/>
          <w:color w:val="C00000"/>
          <w:sz w:val="28"/>
          <w:szCs w:val="28"/>
        </w:rPr>
        <w:t>Conclusion</w:t>
      </w:r>
    </w:p>
    <w:p w14:paraId="43DD1E89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 w:rsidRPr="00B229C1">
        <w:rPr>
          <w:rFonts w:asciiTheme="minorHAnsi" w:hAnsiTheme="minorHAnsi" w:cstheme="minorHAnsi"/>
          <w:sz w:val="24"/>
          <w:szCs w:val="24"/>
        </w:rPr>
        <w:t xml:space="preserve">Le modèle de données DPE propose une </w:t>
      </w:r>
      <w:r w:rsidRPr="00B229C1">
        <w:rPr>
          <w:rFonts w:asciiTheme="minorHAnsi" w:hAnsiTheme="minorHAnsi" w:cstheme="minorHAnsi"/>
          <w:b/>
          <w:bCs/>
          <w:sz w:val="24"/>
          <w:szCs w:val="24"/>
        </w:rPr>
        <w:t>structure cohérente, performante et sécurisée</w:t>
      </w:r>
      <w:r w:rsidRPr="00B229C1">
        <w:rPr>
          <w:rFonts w:asciiTheme="minorHAnsi" w:hAnsiTheme="minorHAnsi" w:cstheme="minorHAnsi"/>
          <w:sz w:val="24"/>
          <w:szCs w:val="24"/>
        </w:rPr>
        <w:t>, adaptée aux usages analytiques et décisionnels sous Power BI.</w:t>
      </w:r>
    </w:p>
    <w:sectPr w:rsidR="00737384" w:rsidRPr="00B229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009EE"/>
    <w:multiLevelType w:val="hybridMultilevel"/>
    <w:tmpl w:val="2ADEFAA8"/>
    <w:lvl w:ilvl="0" w:tplc="922290C0">
      <w:start w:val="1"/>
      <w:numFmt w:val="bullet"/>
      <w:lvlText w:val="•"/>
      <w:lvlJc w:val="left"/>
      <w:pPr>
        <w:ind w:left="720" w:hanging="360"/>
      </w:pPr>
    </w:lvl>
    <w:lvl w:ilvl="1" w:tplc="835E4A2E">
      <w:numFmt w:val="decimal"/>
      <w:lvlText w:val=""/>
      <w:lvlJc w:val="left"/>
    </w:lvl>
    <w:lvl w:ilvl="2" w:tplc="23249FD6">
      <w:numFmt w:val="decimal"/>
      <w:lvlText w:val=""/>
      <w:lvlJc w:val="left"/>
    </w:lvl>
    <w:lvl w:ilvl="3" w:tplc="582A9E2E">
      <w:numFmt w:val="decimal"/>
      <w:lvlText w:val=""/>
      <w:lvlJc w:val="left"/>
    </w:lvl>
    <w:lvl w:ilvl="4" w:tplc="DF766412">
      <w:numFmt w:val="decimal"/>
      <w:lvlText w:val=""/>
      <w:lvlJc w:val="left"/>
    </w:lvl>
    <w:lvl w:ilvl="5" w:tplc="7728D80C">
      <w:numFmt w:val="decimal"/>
      <w:lvlText w:val=""/>
      <w:lvlJc w:val="left"/>
    </w:lvl>
    <w:lvl w:ilvl="6" w:tplc="F20EB578">
      <w:numFmt w:val="decimal"/>
      <w:lvlText w:val=""/>
      <w:lvlJc w:val="left"/>
    </w:lvl>
    <w:lvl w:ilvl="7" w:tplc="41CA6164">
      <w:numFmt w:val="decimal"/>
      <w:lvlText w:val=""/>
      <w:lvlJc w:val="left"/>
    </w:lvl>
    <w:lvl w:ilvl="8" w:tplc="A8AC3B32">
      <w:numFmt w:val="decimal"/>
      <w:lvlText w:val=""/>
      <w:lvlJc w:val="left"/>
    </w:lvl>
  </w:abstractNum>
  <w:abstractNum w:abstractNumId="1" w15:restartNumberingAfterBreak="0">
    <w:nsid w:val="6A5467C7"/>
    <w:multiLevelType w:val="hybridMultilevel"/>
    <w:tmpl w:val="F402BC08"/>
    <w:lvl w:ilvl="0" w:tplc="268878C0">
      <w:start w:val="1"/>
      <w:numFmt w:val="bullet"/>
      <w:lvlText w:val="●"/>
      <w:lvlJc w:val="left"/>
      <w:pPr>
        <w:ind w:left="720" w:hanging="360"/>
      </w:pPr>
    </w:lvl>
    <w:lvl w:ilvl="1" w:tplc="B9987FFA">
      <w:start w:val="1"/>
      <w:numFmt w:val="bullet"/>
      <w:lvlText w:val="○"/>
      <w:lvlJc w:val="left"/>
      <w:pPr>
        <w:ind w:left="1440" w:hanging="360"/>
      </w:pPr>
    </w:lvl>
    <w:lvl w:ilvl="2" w:tplc="22F8DEB8">
      <w:start w:val="1"/>
      <w:numFmt w:val="bullet"/>
      <w:lvlText w:val="■"/>
      <w:lvlJc w:val="left"/>
      <w:pPr>
        <w:ind w:left="2160" w:hanging="360"/>
      </w:pPr>
    </w:lvl>
    <w:lvl w:ilvl="3" w:tplc="F23211E4">
      <w:start w:val="1"/>
      <w:numFmt w:val="bullet"/>
      <w:lvlText w:val="●"/>
      <w:lvlJc w:val="left"/>
      <w:pPr>
        <w:ind w:left="2880" w:hanging="360"/>
      </w:pPr>
    </w:lvl>
    <w:lvl w:ilvl="4" w:tplc="A43C0B76">
      <w:start w:val="1"/>
      <w:numFmt w:val="bullet"/>
      <w:lvlText w:val="○"/>
      <w:lvlJc w:val="left"/>
      <w:pPr>
        <w:ind w:left="3600" w:hanging="360"/>
      </w:pPr>
    </w:lvl>
    <w:lvl w:ilvl="5" w:tplc="00D8A270">
      <w:start w:val="1"/>
      <w:numFmt w:val="bullet"/>
      <w:lvlText w:val="■"/>
      <w:lvlJc w:val="left"/>
      <w:pPr>
        <w:ind w:left="4320" w:hanging="360"/>
      </w:pPr>
    </w:lvl>
    <w:lvl w:ilvl="6" w:tplc="1406AE0A">
      <w:start w:val="1"/>
      <w:numFmt w:val="bullet"/>
      <w:lvlText w:val="●"/>
      <w:lvlJc w:val="left"/>
      <w:pPr>
        <w:ind w:left="5040" w:hanging="360"/>
      </w:pPr>
    </w:lvl>
    <w:lvl w:ilvl="7" w:tplc="31B2BFB0">
      <w:start w:val="1"/>
      <w:numFmt w:val="bullet"/>
      <w:lvlText w:val="●"/>
      <w:lvlJc w:val="left"/>
      <w:pPr>
        <w:ind w:left="5760" w:hanging="360"/>
      </w:pPr>
    </w:lvl>
    <w:lvl w:ilvl="8" w:tplc="732265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84"/>
    <w:rsid w:val="00236A79"/>
    <w:rsid w:val="00737384"/>
    <w:rsid w:val="00805EEA"/>
    <w:rsid w:val="00B229C1"/>
    <w:rsid w:val="00D1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6A25"/>
  <w15:docId w15:val="{0F0CF65B-371A-47C9-A26F-07D8AA7D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484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TESTSI</cp:lastModifiedBy>
  <cp:revision>3</cp:revision>
  <dcterms:created xsi:type="dcterms:W3CDTF">2026-02-06T14:13:00Z</dcterms:created>
  <dcterms:modified xsi:type="dcterms:W3CDTF">2026-02-06T14:57:00Z</dcterms:modified>
</cp:coreProperties>
</file>