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EE4C" w14:textId="4082CCA0" w:rsidR="00B229C1" w:rsidRDefault="00D12A27" w:rsidP="00B229C1">
      <w:pPr>
        <w:pStyle w:val="Titre"/>
        <w:spacing w:after="240"/>
        <w:rPr>
          <w:b/>
          <w:bCs/>
          <w:color w:val="C00000"/>
          <w:sz w:val="40"/>
          <w:szCs w:val="40"/>
          <w:u w:val="single"/>
        </w:rPr>
      </w:pPr>
      <w:r>
        <w:rPr>
          <w:b/>
          <w:bCs/>
          <w:color w:val="C00000"/>
          <w:sz w:val="40"/>
          <w:szCs w:val="40"/>
          <w:u w:val="single"/>
        </w:rPr>
        <w:t>Documentation technique : Power BI – ENEDIS</w:t>
      </w:r>
    </w:p>
    <w:p w14:paraId="4B046CD3" w14:textId="4E0ACB02" w:rsidR="00737384" w:rsidRPr="00805EEA" w:rsidRDefault="00B229C1" w:rsidP="00B229C1">
      <w:pPr>
        <w:pStyle w:val="Titre"/>
        <w:rPr>
          <w:rFonts w:asciiTheme="minorHAnsi" w:hAnsiTheme="minorHAnsi" w:cstheme="minorHAnsi"/>
          <w:b/>
          <w:bCs/>
          <w:color w:val="00206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2060"/>
          <w:sz w:val="28"/>
          <w:szCs w:val="28"/>
        </w:rPr>
        <w:t>I. Architecture du modèle</w:t>
      </w:r>
    </w:p>
    <w:p w14:paraId="03CFBCBD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Le modèle de données repose sur une </w:t>
      </w:r>
      <w:r>
        <w:rPr>
          <w:rFonts w:asciiTheme="minorHAnsi" w:hAnsiTheme="minorHAnsi" w:cstheme="minorHAnsi"/>
          <w:b/>
          <w:bCs/>
          <w:sz w:val="24"/>
          <w:szCs w:val="24"/>
        </w:rPr>
        <w:t>architecture en schéma en étoile</w:t>
      </w:r>
      <w:r>
        <w:rPr>
          <w:rFonts w:asciiTheme="minorHAnsi" w:hAnsiTheme="minorHAnsi" w:cstheme="minorHAnsi"/>
          <w:sz w:val="24"/>
          <w:szCs w:val="24"/>
        </w:rPr>
        <w:t>, spécifiquement conçue pour le reporting décisionnel sous Power BI. Cette architecture garantit :</w:t>
      </w:r>
    </w:p>
    <w:p w14:paraId="53884938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 performances de requêtage élevées,</w:t>
      </w:r>
    </w:p>
    <w:p w14:paraId="2E6DC9C7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une lecture simple du modèle,</w:t>
      </w:r>
    </w:p>
    <w:p w14:paraId="44E2A85E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une maintenance facilitée.</w:t>
      </w:r>
    </w:p>
    <w:p w14:paraId="4661E628" w14:textId="50B8F0F9" w:rsidR="00737384" w:rsidRPr="00B229C1" w:rsidRDefault="00D12A27">
      <w:pPr>
        <w:pStyle w:val="Titre2"/>
        <w:rPr>
          <w:rFonts w:asciiTheme="minorHAnsi" w:hAnsiTheme="minorHAnsi" w:cstheme="minorHAnsi"/>
          <w:color w:val="0070C0"/>
          <w:sz w:val="24"/>
          <w:szCs w:val="24"/>
        </w:rPr>
      </w:pPr>
      <w:r>
        <w:rPr>
          <w:rFonts w:asciiTheme="minorHAnsi" w:hAnsiTheme="minorHAnsi" w:cstheme="minorHAnsi"/>
          <w:color w:val="0070C0"/>
          <w:sz w:val="24"/>
          <w:szCs w:val="24"/>
        </w:rPr>
        <w:t>1. Table de faits — FACT_dpe</w:t>
      </w:r>
    </w:p>
    <w:p w14:paraId="34C7555D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La table 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FACT_dpe</w:t>
      </w:r>
      <w:r>
        <w:rPr>
          <w:rFonts w:asciiTheme="minorHAnsi" w:hAnsiTheme="minorHAnsi" w:cstheme="minorHAnsi"/>
          <w:sz w:val="24"/>
          <w:szCs w:val="24"/>
        </w:rPr>
        <w:t xml:space="preserve"> constitue la table centrale du modèle. Elle stocke les données au niveau le plus fin : le diagnostic de performance énergétique associé à un logement.</w:t>
      </w:r>
    </w:p>
    <w:p w14:paraId="5E22998A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Mesures de consommation énergétique</w:t>
      </w:r>
    </w:p>
    <w:p w14:paraId="70692B48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Consommations détaillées par usage, exprimées en :</w:t>
      </w:r>
    </w:p>
    <w:p w14:paraId="0DAE556E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énergie finale (EF),</w:t>
      </w:r>
    </w:p>
    <w:p w14:paraId="74102291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énergie primaire (EP).</w:t>
      </w:r>
    </w:p>
    <w:p w14:paraId="2A0B0B10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7030A0"/>
          <w:sz w:val="24"/>
          <w:szCs w:val="24"/>
        </w:rPr>
        <w:t>Usages couverts :</w:t>
      </w:r>
    </w:p>
    <w:p w14:paraId="04B43E5B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chauffage,</w:t>
      </w:r>
    </w:p>
    <w:p w14:paraId="11C8DEDC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éclairage,</w:t>
      </w:r>
    </w:p>
    <w:p w14:paraId="621A616E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eau chaude sanitaire,</w:t>
      </w:r>
    </w:p>
    <w:p w14:paraId="2918AC0D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refroidissement,</w:t>
      </w:r>
    </w:p>
    <w:p w14:paraId="328D489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auxiliaires.</w:t>
      </w:r>
    </w:p>
    <w:p w14:paraId="71258DFB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Mesures de coûts</w:t>
      </w:r>
    </w:p>
    <w:p w14:paraId="48C4D5F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Coûts estimés par usage énergétique.</w:t>
      </w:r>
    </w:p>
    <w:p w14:paraId="4250267D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Coût global agrégé : 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Cout_5_usages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17E15C22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Métriques physiques</w:t>
      </w:r>
    </w:p>
    <w:p w14:paraId="3B984C35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surface_habitable_logement</w:t>
      </w:r>
      <w:r>
        <w:rPr>
          <w:rFonts w:asciiTheme="minorHAnsi" w:hAnsiTheme="minorHAnsi" w:cstheme="minorHAnsi"/>
          <w:sz w:val="24"/>
          <w:szCs w:val="24"/>
        </w:rPr>
        <w:t xml:space="preserve"> : utilisée pour les pondérations et les calculs de ratios.</w:t>
      </w:r>
    </w:p>
    <w:p w14:paraId="5CB06E82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Données temporelles</w:t>
      </w:r>
    </w:p>
    <w:p w14:paraId="778C6896" w14:textId="0ADDF5A1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date_etablissement_dpe</w:t>
      </w:r>
    </w:p>
    <w:p w14:paraId="609529E4" w14:textId="2E0B8444" w:rsidR="00737384" w:rsidRPr="00B229C1" w:rsidRDefault="002476E6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année_filtre</w:t>
      </w:r>
    </w:p>
    <w:p w14:paraId="55750324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Ces champs permettent les analyses chronologiques et comparatives.</w:t>
      </w:r>
    </w:p>
    <w:p w14:paraId="05066AD3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Clés de liaison</w:t>
      </w:r>
    </w:p>
    <w:p w14:paraId="623CE5F6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Les jointures avec les tables de dimensions sont assurées par les identifiants suivants :</w:t>
      </w:r>
    </w:p>
    <w:p w14:paraId="554EE8E1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id_lieu</w:t>
      </w:r>
    </w:p>
    <w:p w14:paraId="4F48E9C3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id_batiment</w:t>
      </w:r>
    </w:p>
    <w:p w14:paraId="3B3CB881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id_performance</w:t>
      </w:r>
    </w:p>
    <w:p w14:paraId="237EFE76" w14:textId="7BCBDE6B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id_logement</w:t>
      </w:r>
    </w:p>
    <w:p w14:paraId="5720967F" w14:textId="77777777" w:rsidR="00B229C1" w:rsidRPr="00B229C1" w:rsidRDefault="00B229C1" w:rsidP="00B229C1">
      <w:pPr>
        <w:pStyle w:val="Paragraphedeliste"/>
        <w:ind w:left="720"/>
        <w:rPr>
          <w:rFonts w:asciiTheme="minorHAnsi" w:hAnsiTheme="minorHAnsi" w:cstheme="minorHAnsi"/>
          <w:sz w:val="24"/>
          <w:szCs w:val="24"/>
        </w:rPr>
      </w:pPr>
    </w:p>
    <w:p w14:paraId="11B2C3D4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Autres mesures</w:t>
      </w:r>
    </w:p>
    <w:p w14:paraId="22C3D4E5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Mesures additionnelles pour l’analyse et la visualisation :</w:t>
      </w:r>
    </w:p>
    <w:p w14:paraId="33D4E5F6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moyenne_Annee</w:t>
      </w:r>
      <w:r>
        <w:rPr>
          <w:rFonts w:asciiTheme="minorHAnsi" w:hAnsiTheme="minorHAnsi" w:cstheme="minorHAnsi"/>
          <w:sz w:val="24"/>
          <w:szCs w:val="24"/>
        </w:rPr>
        <w:t xml:space="preserve"> : Moyenne annuelle utilisée pour le graphique en nuage de points en page 2.</w:t>
      </w:r>
    </w:p>
    <w:p w14:paraId="44E5F6A7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Titre_dynamique_tornado</w:t>
      </w:r>
      <w:r>
        <w:rPr>
          <w:rFonts w:asciiTheme="minorHAnsi" w:hAnsiTheme="minorHAnsi" w:cstheme="minorHAnsi"/>
          <w:sz w:val="24"/>
          <w:szCs w:val="24"/>
        </w:rPr>
        <w:t xml:space="preserve"> : Titre dynamique pour le graphique tornado, adapté à la sélection de villes.</w:t>
      </w:r>
    </w:p>
    <w:p w14:paraId="55F6A7B8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%_passoire_thermiques</w:t>
      </w:r>
      <w:r>
        <w:rPr>
          <w:rFonts w:asciiTheme="minorHAnsi" w:hAnsiTheme="minorHAnsi" w:cstheme="minorHAnsi"/>
          <w:sz w:val="24"/>
          <w:szCs w:val="24"/>
        </w:rPr>
        <w:t xml:space="preserve"> : Pourcentage de logements classés en passoires thermiques (étiquettes F et G).</w:t>
      </w:r>
    </w:p>
    <w:p w14:paraId="66A7B8C9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alerte_selection</w:t>
      </w:r>
      <w:r>
        <w:rPr>
          <w:rFonts w:asciiTheme="minorHAnsi" w:hAnsiTheme="minorHAnsi" w:cstheme="minorHAnsi"/>
          <w:sz w:val="24"/>
          <w:szCs w:val="24"/>
        </w:rPr>
        <w:t xml:space="preserve"> : Message d’alerte pour conseiller au client de sélectionner 2 villes afin que le graphique tornado s’affiche correctement.</w:t>
      </w:r>
    </w:p>
    <w:p w14:paraId="17B8C9D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couleur_fond_alerte</w:t>
      </w:r>
      <w:r>
        <w:rPr>
          <w:rFonts w:asciiTheme="minorHAnsi" w:hAnsiTheme="minorHAnsi" w:cstheme="minorHAnsi"/>
          <w:sz w:val="24"/>
          <w:szCs w:val="24"/>
        </w:rPr>
        <w:t xml:space="preserve"> : Couleur de fond pour faire apparaître l’alerte si la sélection de villes est supérieure à 2.</w:t>
      </w:r>
    </w:p>
    <w:p w14:paraId="28C9D0E1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couleurs_dpe_arriere_plan</w:t>
      </w:r>
      <w:r>
        <w:rPr>
          <w:rFonts w:asciiTheme="minorHAnsi" w:hAnsiTheme="minorHAnsi" w:cstheme="minorHAnsi"/>
          <w:sz w:val="24"/>
          <w:szCs w:val="24"/>
        </w:rPr>
        <w:t xml:space="preserve"> : Couleurs d’arrière-plan des étiquettes DPE, appliquées au filtre étiquettes DPE en page 3.</w:t>
      </w:r>
    </w:p>
    <w:p w14:paraId="39D0E1F2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icone_type</w:t>
      </w:r>
      <w:r>
        <w:rPr>
          <w:rFonts w:asciiTheme="minorHAnsi" w:hAnsiTheme="minorHAnsi" w:cstheme="minorHAnsi"/>
          <w:sz w:val="24"/>
          <w:szCs w:val="24"/>
        </w:rPr>
        <w:t xml:space="preserve"> : Icônes pour les types de bâtiment (immeuble, maison, appartement), appliquées sur le filtre type bâtiment en page 2.</w:t>
      </w:r>
    </w:p>
    <w:p w14:paraId="40E1F2A3" w14:textId="77777777" w:rsidR="00B229C1" w:rsidRPr="00B229C1" w:rsidRDefault="00B229C1" w:rsidP="00B229C1">
      <w:pPr>
        <w:pStyle w:val="Paragraphedeliste"/>
        <w:ind w:left="720"/>
        <w:rPr>
          <w:rFonts w:asciiTheme="minorHAnsi" w:hAnsiTheme="minorHAnsi" w:cstheme="minorHAnsi"/>
          <w:sz w:val="24"/>
          <w:szCs w:val="24"/>
        </w:rPr>
      </w:pPr>
    </w:p>
    <w:p w14:paraId="59F4C749" w14:textId="207B3414" w:rsidR="00737384" w:rsidRPr="00B229C1" w:rsidRDefault="00236A79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>
        <w:rPr>
          <w:rFonts w:asciiTheme="minorHAnsi" w:hAnsiTheme="minorHAnsi" w:cstheme="minorHAnsi"/>
          <w:color w:val="0070C0"/>
          <w:sz w:val="24"/>
          <w:szCs w:val="24"/>
        </w:rPr>
        <w:lastRenderedPageBreak/>
        <w:t>2. Tables de dimensions</w:t>
      </w:r>
    </w:p>
    <w:p w14:paraId="1E8E343B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Les tables de dimensions définissent les axes d'analyse du modèle.</w:t>
      </w:r>
    </w:p>
    <w:p w14:paraId="507686D0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DIM_lieu — Axe géographique</w:t>
      </w:r>
    </w:p>
    <w:p w14:paraId="6E1EA90F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Analyse spatiale et administrative des diagnostics.</w:t>
      </w:r>
    </w:p>
    <w:p w14:paraId="294899F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ville</w:t>
      </w:r>
    </w:p>
    <w:p w14:paraId="61465ED5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code_postal</w:t>
      </w:r>
    </w:p>
    <w:p w14:paraId="63B0F8A1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DIM_batiment — Axe typologique</w:t>
      </w:r>
    </w:p>
    <w:p w14:paraId="173F1DDE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Segmentation des biens selon leur nature constructive.</w:t>
      </w:r>
    </w:p>
    <w:p w14:paraId="6B699E45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type_batiment</w:t>
      </w:r>
    </w:p>
    <w:p w14:paraId="4DE9A7FD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DIM_performance — Axe énergétique</w:t>
      </w:r>
    </w:p>
    <w:p w14:paraId="17DE768B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Référentiel des performances énergétiques.</w:t>
      </w:r>
    </w:p>
    <w:p w14:paraId="4C767FF9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etiquette_dpe</w:t>
      </w:r>
    </w:p>
    <w:p w14:paraId="7918464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type_energie_n1</w:t>
      </w:r>
    </w:p>
    <w:p w14:paraId="334BFA70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DIM_logement — Axe caractéristiques du logement</w:t>
      </w:r>
    </w:p>
    <w:p w14:paraId="04D377D4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Description structurelle et localisation précise.</w:t>
      </w:r>
    </w:p>
    <w:p w14:paraId="3FA8AB06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annee_construction</w:t>
      </w:r>
    </w:p>
    <w:p w14:paraId="44B5E90F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adresse_ban</w:t>
      </w:r>
    </w:p>
    <w:p w14:paraId="11BAC329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coordonnées géographiques (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x_ban</w:t>
      </w:r>
      <w:r>
        <w:rPr>
          <w:rFonts w:asciiTheme="minorHAnsi" w:hAnsiTheme="minorHAnsi" w:cstheme="minorHAnsi"/>
          <w:sz w:val="24"/>
          <w:szCs w:val="24"/>
        </w:rPr>
        <w:t xml:space="preserve">, 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y_ban</w:t>
      </w:r>
      <w:r>
        <w:rPr>
          <w:rFonts w:asciiTheme="minorHAnsi" w:hAnsiTheme="minorHAnsi" w:cstheme="minorHAnsi"/>
          <w:sz w:val="24"/>
          <w:szCs w:val="24"/>
        </w:rPr>
        <w:t>).</w:t>
      </w:r>
    </w:p>
    <w:p w14:paraId="44DDC626" w14:textId="3BD59EEA" w:rsidR="00737384" w:rsidRPr="00B229C1" w:rsidRDefault="00D12A27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>
        <w:rPr>
          <w:rFonts w:asciiTheme="minorHAnsi" w:hAnsiTheme="minorHAnsi" w:cstheme="minorHAnsi"/>
          <w:color w:val="0070C0"/>
          <w:sz w:val="24"/>
          <w:szCs w:val="24"/>
        </w:rPr>
        <w:t>3. Relations entre les tables</w:t>
      </w:r>
    </w:p>
    <w:p w14:paraId="0B0779DF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Le modèle utilise exclusivement des relations de cardinalité </w:t>
      </w:r>
      <w:r>
        <w:rPr>
          <w:rFonts w:asciiTheme="minorHAnsi" w:hAnsiTheme="minorHAnsi" w:cstheme="minorHAnsi"/>
          <w:b/>
          <w:bCs/>
          <w:sz w:val="24"/>
          <w:szCs w:val="24"/>
        </w:rPr>
        <w:t>Un-à-Plusieurs (1:*)</w:t>
      </w:r>
      <w:r>
        <w:rPr>
          <w:rFonts w:asciiTheme="minorHAnsi" w:hAnsiTheme="minorHAnsi" w:cstheme="minorHAnsi"/>
          <w:sz w:val="24"/>
          <w:szCs w:val="24"/>
        </w:rPr>
        <w:t xml:space="preserve"> :</w:t>
      </w:r>
    </w:p>
    <w:p w14:paraId="38DB203A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les tables de dimensions représentent le côté « 1 »,</w:t>
      </w:r>
    </w:p>
    <w:p w14:paraId="49701E19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la table 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FACT_dpe</w:t>
      </w:r>
      <w:r>
        <w:rPr>
          <w:rFonts w:asciiTheme="minorHAnsi" w:hAnsiTheme="minorHAnsi" w:cstheme="minorHAnsi"/>
          <w:sz w:val="24"/>
          <w:szCs w:val="24"/>
        </w:rPr>
        <w:t xml:space="preserve"> représente le côté « * ».</w:t>
      </w:r>
    </w:p>
    <w:p w14:paraId="6D3F746E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La propagation des filtres s'effectue des dimensions vers la table de faits.</w:t>
      </w:r>
    </w:p>
    <w:p w14:paraId="36628783" w14:textId="2FD2EDE9" w:rsidR="00737384" w:rsidRPr="00805EEA" w:rsidRDefault="00805EEA" w:rsidP="00B229C1">
      <w:pPr>
        <w:pStyle w:val="Titre1"/>
        <w:spacing w:after="0"/>
        <w:rPr>
          <w:rFonts w:asciiTheme="minorHAnsi" w:hAnsiTheme="minorHAnsi" w:cstheme="minorHAnsi"/>
          <w:color w:val="002060"/>
          <w:sz w:val="28"/>
          <w:szCs w:val="28"/>
        </w:rPr>
      </w:pPr>
      <w:r>
        <w:rPr>
          <w:rFonts w:asciiTheme="minorHAnsi" w:hAnsiTheme="minorHAnsi" w:cstheme="minorHAnsi"/>
          <w:color w:val="002060"/>
          <w:sz w:val="28"/>
          <w:szCs w:val="28"/>
        </w:rPr>
        <w:t>II. Sécurité des données — Row Level Security (RLS)</w:t>
      </w:r>
    </w:p>
    <w:p w14:paraId="7CF587A0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Le modèle est conçu pour intégrer une sécurité au niveau des lignes.</w:t>
      </w:r>
    </w:p>
    <w:p w14:paraId="7260F990" w14:textId="77777777" w:rsidR="00737384" w:rsidRPr="00805EEA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Principe</w:t>
      </w:r>
    </w:p>
    <w:p w14:paraId="0D52EDA5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Table support : 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DIM_lieu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1738ECF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Colonnes utilisées : 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ville</w:t>
      </w:r>
      <w:r>
        <w:rPr>
          <w:rFonts w:asciiTheme="minorHAnsi" w:hAnsiTheme="minorHAnsi" w:cstheme="minorHAnsi"/>
          <w:sz w:val="24"/>
          <w:szCs w:val="24"/>
        </w:rPr>
        <w:t xml:space="preserve"> et/ou 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code_postal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093A7A10" w14:textId="77777777" w:rsidR="00737384" w:rsidRPr="00805EEA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Fonctionnement</w:t>
      </w:r>
    </w:p>
    <w:p w14:paraId="236969A4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Lorsqu'un rôle utilisateur applique un filtre sur 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DIM_lieu</w:t>
      </w:r>
      <w:r>
        <w:rPr>
          <w:rFonts w:asciiTheme="minorHAnsi" w:hAnsiTheme="minorHAnsi" w:cstheme="minorHAnsi"/>
          <w:sz w:val="24"/>
          <w:szCs w:val="24"/>
        </w:rPr>
        <w:t xml:space="preserve"> :</w:t>
      </w:r>
    </w:p>
    <w:p w14:paraId="1E068A67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le filtrage se propage automatiquement à 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FACT_dpe</w:t>
      </w:r>
      <w:r>
        <w:rPr>
          <w:rFonts w:asciiTheme="minorHAnsi" w:hAnsiTheme="minorHAnsi" w:cstheme="minorHAnsi"/>
          <w:sz w:val="24"/>
          <w:szCs w:val="24"/>
        </w:rPr>
        <w:t>,</w:t>
      </w:r>
    </w:p>
    <w:p w14:paraId="7BF85261" w14:textId="20D936FE" w:rsidR="00737384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l'utilisateur ne visualise que les données correspondant à son périmètre géographique autorisé.</w:t>
      </w:r>
    </w:p>
    <w:p w14:paraId="481F6D4A" w14:textId="77777777" w:rsidR="00805EEA" w:rsidRPr="00B229C1" w:rsidRDefault="00805EEA" w:rsidP="00805EEA">
      <w:pPr>
        <w:pStyle w:val="Paragraphedeliste"/>
        <w:ind w:left="720"/>
        <w:rPr>
          <w:rFonts w:asciiTheme="minorHAnsi" w:hAnsiTheme="minorHAnsi" w:cstheme="minorHAnsi"/>
          <w:sz w:val="24"/>
          <w:szCs w:val="24"/>
        </w:rPr>
      </w:pPr>
    </w:p>
    <w:p w14:paraId="007D3F97" w14:textId="5F556B79" w:rsidR="00737384" w:rsidRPr="00805EEA" w:rsidRDefault="00805EEA" w:rsidP="00B229C1">
      <w:pPr>
        <w:pStyle w:val="Titre1"/>
        <w:spacing w:after="0"/>
        <w:rPr>
          <w:rFonts w:asciiTheme="minorHAnsi" w:hAnsiTheme="minorHAnsi" w:cstheme="minorHAnsi"/>
          <w:color w:val="002060"/>
          <w:sz w:val="28"/>
          <w:szCs w:val="28"/>
        </w:rPr>
      </w:pPr>
      <w:r>
        <w:rPr>
          <w:rFonts w:asciiTheme="minorHAnsi" w:hAnsiTheme="minorHAnsi" w:cstheme="minorHAnsi"/>
          <w:color w:val="002060"/>
          <w:sz w:val="28"/>
          <w:szCs w:val="28"/>
        </w:rPr>
        <w:lastRenderedPageBreak/>
        <w:t>III. Performance du modèle</w:t>
      </w:r>
    </w:p>
    <w:p w14:paraId="5FFD2A24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L'efficacité du modèle repose sur trois éléments structurants.</w:t>
      </w:r>
    </w:p>
    <w:p w14:paraId="0E46A051" w14:textId="425A5382" w:rsidR="00737384" w:rsidRPr="00236A79" w:rsidRDefault="00D12A27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>
        <w:rPr>
          <w:rFonts w:asciiTheme="minorHAnsi" w:hAnsiTheme="minorHAnsi" w:cstheme="minorHAnsi"/>
          <w:color w:val="0070C0"/>
          <w:sz w:val="24"/>
          <w:szCs w:val="24"/>
        </w:rPr>
        <w:t>1. Architecture en étoile</w:t>
      </w:r>
    </w:p>
    <w:p w14:paraId="4680FE52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Optimisation native pour les moteurs tabulaires.</w:t>
      </w:r>
    </w:p>
    <w:p w14:paraId="5DA960C9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Absence de relations complexes de type flocon.</w:t>
      </w:r>
    </w:p>
    <w:p w14:paraId="45F2E66C" w14:textId="0FDF126B" w:rsidR="00737384" w:rsidRPr="00236A79" w:rsidRDefault="00D12A27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>
        <w:rPr>
          <w:rFonts w:asciiTheme="minorHAnsi" w:hAnsiTheme="minorHAnsi" w:cstheme="minorHAnsi"/>
          <w:color w:val="0070C0"/>
          <w:sz w:val="24"/>
          <w:szCs w:val="24"/>
        </w:rPr>
        <w:t>2. Granularité fine</w:t>
      </w:r>
    </w:p>
    <w:p w14:paraId="127E8A3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Données conservées au niveau diagnostic / logement.</w:t>
      </w:r>
    </w:p>
    <w:p w14:paraId="1B881BD2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Agrégations flexibles sans perte de précision.</w:t>
      </w:r>
    </w:p>
    <w:p w14:paraId="4FA00C99" w14:textId="327858A8" w:rsidR="00737384" w:rsidRPr="00236A79" w:rsidRDefault="00D12A27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>
        <w:rPr>
          <w:rFonts w:asciiTheme="minorHAnsi" w:hAnsiTheme="minorHAnsi" w:cstheme="minorHAnsi"/>
          <w:color w:val="0070C0"/>
          <w:sz w:val="24"/>
          <w:szCs w:val="24"/>
        </w:rPr>
        <w:t>3. Optimisation des mesures</w:t>
      </w:r>
    </w:p>
    <w:p w14:paraId="4A102418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Centralisation des métriques numériques dans la table de faits.</w:t>
      </w:r>
    </w:p>
    <w:p w14:paraId="684596BD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Agrégations simples et peu coûteuses en ressources.</w:t>
      </w:r>
    </w:p>
    <w:p w14:paraId="50B4D1B0" w14:textId="77777777" w:rsidR="00737384" w:rsidRPr="00805EEA" w:rsidRDefault="00D12A27" w:rsidP="00B229C1">
      <w:pPr>
        <w:pStyle w:val="Titre1"/>
        <w:spacing w:after="0"/>
        <w:rPr>
          <w:rFonts w:asciiTheme="minorHAnsi" w:hAnsiTheme="minorHAnsi" w:cstheme="minorHAnsi"/>
          <w:color w:val="C00000"/>
          <w:sz w:val="28"/>
          <w:szCs w:val="28"/>
        </w:rPr>
      </w:pPr>
      <w:r>
        <w:rPr>
          <w:rFonts w:asciiTheme="minorHAnsi" w:hAnsiTheme="minorHAnsi" w:cstheme="minorHAnsi"/>
          <w:color w:val="C00000"/>
          <w:sz w:val="28"/>
          <w:szCs w:val="28"/>
        </w:rPr>
        <w:t>Conclusion</w:t>
      </w:r>
    </w:p>
    <w:p w14:paraId="43DD1E89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Le modèle de données DPE propose une </w:t>
      </w:r>
      <w:r>
        <w:rPr>
          <w:rFonts w:asciiTheme="minorHAnsi" w:hAnsiTheme="minorHAnsi" w:cstheme="minorHAnsi"/>
          <w:b/>
          <w:bCs/>
          <w:sz w:val="24"/>
          <w:szCs w:val="24"/>
        </w:rPr>
        <w:t>structure cohérente, performante et sécurisée</w:t>
      </w:r>
      <w:r>
        <w:rPr>
          <w:rFonts w:asciiTheme="minorHAnsi" w:hAnsiTheme="minorHAnsi" w:cstheme="minorHAnsi"/>
          <w:sz w:val="24"/>
          <w:szCs w:val="24"/>
        </w:rPr>
        <w:t>, adaptée aux usages analytiques et décisionnels sous Power BI.</w:t>
      </w:r>
    </w:p>
    <w:sectPr w:rsidR="00737384" w:rsidRPr="00B229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009EE"/>
    <w:multiLevelType w:val="hybridMultilevel"/>
    <w:tmpl w:val="2ADEFAA8"/>
    <w:lvl w:ilvl="0" w:tplc="922290C0">
      <w:start w:val="1"/>
      <w:numFmt w:val="bullet"/>
      <w:lvlText w:val="•"/>
      <w:lvlJc w:val="left"/>
      <w:pPr>
        <w:ind w:left="720" w:hanging="360"/>
      </w:pPr>
    </w:lvl>
    <w:lvl w:ilvl="1" w:tplc="835E4A2E">
      <w:numFmt w:val="decimal"/>
      <w:lvlText w:val=""/>
      <w:lvlJc w:val="left"/>
    </w:lvl>
    <w:lvl w:ilvl="2" w:tplc="23249FD6">
      <w:numFmt w:val="decimal"/>
      <w:lvlText w:val=""/>
      <w:lvlJc w:val="left"/>
    </w:lvl>
    <w:lvl w:ilvl="3" w:tplc="582A9E2E">
      <w:numFmt w:val="decimal"/>
      <w:lvlText w:val=""/>
      <w:lvlJc w:val="left"/>
    </w:lvl>
    <w:lvl w:ilvl="4" w:tplc="DF766412">
      <w:numFmt w:val="decimal"/>
      <w:lvlText w:val=""/>
      <w:lvlJc w:val="left"/>
    </w:lvl>
    <w:lvl w:ilvl="5" w:tplc="7728D80C">
      <w:numFmt w:val="decimal"/>
      <w:lvlText w:val=""/>
      <w:lvlJc w:val="left"/>
    </w:lvl>
    <w:lvl w:ilvl="6" w:tplc="F20EB578">
      <w:numFmt w:val="decimal"/>
      <w:lvlText w:val=""/>
      <w:lvlJc w:val="left"/>
    </w:lvl>
    <w:lvl w:ilvl="7" w:tplc="41CA6164">
      <w:numFmt w:val="decimal"/>
      <w:lvlText w:val=""/>
      <w:lvlJc w:val="left"/>
    </w:lvl>
    <w:lvl w:ilvl="8" w:tplc="A8AC3B32">
      <w:numFmt w:val="decimal"/>
      <w:lvlText w:val=""/>
      <w:lvlJc w:val="left"/>
    </w:lvl>
  </w:abstractNum>
  <w:abstractNum w:abstractNumId="1" w15:restartNumberingAfterBreak="0">
    <w:nsid w:val="6A5467C7"/>
    <w:multiLevelType w:val="hybridMultilevel"/>
    <w:tmpl w:val="F402BC08"/>
    <w:lvl w:ilvl="0" w:tplc="268878C0">
      <w:start w:val="1"/>
      <w:numFmt w:val="bullet"/>
      <w:lvlText w:val="●"/>
      <w:lvlJc w:val="left"/>
      <w:pPr>
        <w:ind w:left="720" w:hanging="360"/>
      </w:pPr>
    </w:lvl>
    <w:lvl w:ilvl="1" w:tplc="B9987FFA">
      <w:start w:val="1"/>
      <w:numFmt w:val="bullet"/>
      <w:lvlText w:val="○"/>
      <w:lvlJc w:val="left"/>
      <w:pPr>
        <w:ind w:left="1440" w:hanging="360"/>
      </w:pPr>
    </w:lvl>
    <w:lvl w:ilvl="2" w:tplc="22F8DEB8">
      <w:start w:val="1"/>
      <w:numFmt w:val="bullet"/>
      <w:lvlText w:val="■"/>
      <w:lvlJc w:val="left"/>
      <w:pPr>
        <w:ind w:left="2160" w:hanging="360"/>
      </w:pPr>
    </w:lvl>
    <w:lvl w:ilvl="3" w:tplc="F23211E4">
      <w:start w:val="1"/>
      <w:numFmt w:val="bullet"/>
      <w:lvlText w:val="●"/>
      <w:lvlJc w:val="left"/>
      <w:pPr>
        <w:ind w:left="2880" w:hanging="360"/>
      </w:pPr>
    </w:lvl>
    <w:lvl w:ilvl="4" w:tplc="A43C0B76">
      <w:start w:val="1"/>
      <w:numFmt w:val="bullet"/>
      <w:lvlText w:val="○"/>
      <w:lvlJc w:val="left"/>
      <w:pPr>
        <w:ind w:left="3600" w:hanging="360"/>
      </w:pPr>
    </w:lvl>
    <w:lvl w:ilvl="5" w:tplc="00D8A270">
      <w:start w:val="1"/>
      <w:numFmt w:val="bullet"/>
      <w:lvlText w:val="■"/>
      <w:lvlJc w:val="left"/>
      <w:pPr>
        <w:ind w:left="4320" w:hanging="360"/>
      </w:pPr>
    </w:lvl>
    <w:lvl w:ilvl="6" w:tplc="1406AE0A">
      <w:start w:val="1"/>
      <w:numFmt w:val="bullet"/>
      <w:lvlText w:val="●"/>
      <w:lvlJc w:val="left"/>
      <w:pPr>
        <w:ind w:left="5040" w:hanging="360"/>
      </w:pPr>
    </w:lvl>
    <w:lvl w:ilvl="7" w:tplc="31B2BFB0">
      <w:start w:val="1"/>
      <w:numFmt w:val="bullet"/>
      <w:lvlText w:val="●"/>
      <w:lvlJc w:val="left"/>
      <w:pPr>
        <w:ind w:left="5760" w:hanging="360"/>
      </w:pPr>
    </w:lvl>
    <w:lvl w:ilvl="8" w:tplc="73226510">
      <w:start w:val="1"/>
      <w:numFmt w:val="bullet"/>
      <w:lvlText w:val="●"/>
      <w:lvlJc w:val="left"/>
      <w:pPr>
        <w:ind w:left="6480" w:hanging="360"/>
      </w:pPr>
    </w:lvl>
  </w:abstractNum>
  <w:num w:numId="1" w16cid:durableId="214893781">
    <w:abstractNumId w:val="1"/>
    <w:lvlOverride w:ilvl="0">
      <w:startOverride w:val="1"/>
    </w:lvlOverride>
  </w:num>
  <w:num w:numId="2" w16cid:durableId="21105389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384"/>
    <w:rsid w:val="00236A79"/>
    <w:rsid w:val="002476E6"/>
    <w:rsid w:val="005D3C30"/>
    <w:rsid w:val="00737384"/>
    <w:rsid w:val="00805EEA"/>
    <w:rsid w:val="00B229C1"/>
    <w:rsid w:val="00D1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6A25"/>
  <w15:docId w15:val="{0F0CF65B-371A-47C9-A26F-07D8AA7D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Titre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b/>
      <w:bCs/>
      <w:color w:val="4472C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483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Violette Grosjean</cp:lastModifiedBy>
  <cp:revision>4</cp:revision>
  <dcterms:created xsi:type="dcterms:W3CDTF">2026-02-06T14:13:00Z</dcterms:created>
  <dcterms:modified xsi:type="dcterms:W3CDTF">2026-02-07T16:10:00Z</dcterms:modified>
</cp:coreProperties>
</file>