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A75DE" w14:textId="77777777" w:rsidR="00D9481E" w:rsidRPr="00D9481E" w:rsidRDefault="00D9481E" w:rsidP="00D9481E">
      <w:pPr>
        <w:rPr>
          <w:sz w:val="16"/>
          <w:szCs w:val="16"/>
        </w:rPr>
      </w:pPr>
      <w:r w:rsidRPr="00D9481E">
        <w:rPr>
          <w:b/>
          <w:bCs/>
          <w:sz w:val="16"/>
          <w:szCs w:val="16"/>
        </w:rPr>
        <w:t>Segnali analogici</w:t>
      </w:r>
      <w:r w:rsidRPr="00D9481E">
        <w:rPr>
          <w:sz w:val="16"/>
          <w:szCs w:val="16"/>
        </w:rPr>
        <w:t> Un segnale analogico assume infiniti valori in modo continuo. Per descrivere un'onda sinusoidale periodica servono ampiezza (distanza dal valore medio al massimo), frequenza (cicli al secondo in Hz) e fase (intervallo in gradi tra inizio e riferimento). Lo sfasamento misura il ritardo relativo tra sinusoidi di uguale frequenza. Il teorema di Fourier permette di scomporre qualsiasi segnale periodico complesso come somma di sinusoidi, semplificando l'analisi in frequenza e il filtraggio.</w:t>
      </w:r>
      <w:r w:rsidRPr="00D9481E">
        <w:rPr>
          <w:rFonts w:ascii="Arial" w:hAnsi="Arial" w:cs="Arial"/>
          <w:sz w:val="16"/>
          <w:szCs w:val="16"/>
        </w:rPr>
        <w:t>​</w:t>
      </w:r>
    </w:p>
    <w:p w14:paraId="7DD8CA0B" w14:textId="77777777" w:rsidR="00D9481E" w:rsidRPr="00D9481E" w:rsidRDefault="00D9481E" w:rsidP="00D9481E">
      <w:pPr>
        <w:rPr>
          <w:sz w:val="16"/>
          <w:szCs w:val="16"/>
        </w:rPr>
      </w:pPr>
      <w:r w:rsidRPr="00D9481E">
        <w:rPr>
          <w:b/>
          <w:bCs/>
          <w:sz w:val="16"/>
          <w:szCs w:val="16"/>
        </w:rPr>
        <w:t>Segnali digitali</w:t>
      </w:r>
      <w:r w:rsidRPr="00D9481E">
        <w:rPr>
          <w:sz w:val="16"/>
          <w:szCs w:val="16"/>
        </w:rPr>
        <w:t xml:space="preserve"> Assumono livelli discreti, tipicamente due: livello alto per 1, basso per 0, con transizioni rapide e forma rettangolare. Vantaggi chiave: robustezza al rumore (pochi livelli da distinguere), integrazione dei sistemi (tutto diventa flusso di bit con </w:t>
      </w:r>
      <w:proofErr w:type="spellStart"/>
      <w:r w:rsidRPr="00D9481E">
        <w:rPr>
          <w:sz w:val="16"/>
          <w:szCs w:val="16"/>
        </w:rPr>
        <w:t>header</w:t>
      </w:r>
      <w:proofErr w:type="spellEnd"/>
      <w:r w:rsidRPr="00D9481E">
        <w:rPr>
          <w:sz w:val="16"/>
          <w:szCs w:val="16"/>
        </w:rPr>
        <w:t>), memorizzazione ed esecuzione nativa nei processori, funzionalità avanzate come crittografia, incapsulamento, privacy e compressione.</w:t>
      </w:r>
      <w:r w:rsidRPr="00D9481E">
        <w:rPr>
          <w:rFonts w:ascii="Arial" w:hAnsi="Arial" w:cs="Arial"/>
          <w:sz w:val="16"/>
          <w:szCs w:val="16"/>
        </w:rPr>
        <w:t>​</w:t>
      </w:r>
    </w:p>
    <w:p w14:paraId="00CC123E" w14:textId="77777777" w:rsidR="00D9481E" w:rsidRPr="00D9481E" w:rsidRDefault="00D9481E" w:rsidP="00D9481E">
      <w:pPr>
        <w:rPr>
          <w:sz w:val="16"/>
          <w:szCs w:val="16"/>
        </w:rPr>
      </w:pPr>
      <w:r w:rsidRPr="00D9481E">
        <w:rPr>
          <w:b/>
          <w:bCs/>
          <w:sz w:val="16"/>
          <w:szCs w:val="16"/>
        </w:rPr>
        <w:t>Modulazioni digitali</w:t>
      </w:r>
      <w:r w:rsidRPr="00D9481E">
        <w:rPr>
          <w:sz w:val="16"/>
          <w:szCs w:val="16"/>
        </w:rPr>
        <w:t> ASK modula l'ampiezza della portante tra due livelli per 0/1; è semplice ma sensibile al rumore di ampiezza, poco usata su lunghe distanze. FSK usa due frequenze diverse della portante per 0/1 mantenendo ampiezza costante; è più robusta di ASK e fu usata storicamente in modem e GSM. PSK varia la fase della portante (BPSK utilizza 0°/180° per 0/1); offre buona efficienza e costituisce la base di QPSK e M-PSK. Oggi si preferiscono PSK, QPSK e QAM per migliore efficienza spettrale; FSK rimane utile in ambiti specifici; ASK è rara nelle reti generali.</w:t>
      </w:r>
      <w:r w:rsidRPr="00D9481E">
        <w:rPr>
          <w:rFonts w:ascii="Arial" w:hAnsi="Arial" w:cs="Arial"/>
          <w:sz w:val="16"/>
          <w:szCs w:val="16"/>
        </w:rPr>
        <w:t>​</w:t>
      </w:r>
    </w:p>
    <w:p w14:paraId="2FE48CF2" w14:textId="77777777" w:rsidR="00D9481E" w:rsidRPr="00D9481E" w:rsidRDefault="00D9481E" w:rsidP="00D9481E">
      <w:pPr>
        <w:rPr>
          <w:sz w:val="16"/>
          <w:szCs w:val="16"/>
        </w:rPr>
      </w:pPr>
      <w:r w:rsidRPr="00D9481E">
        <w:rPr>
          <w:b/>
          <w:bCs/>
          <w:sz w:val="16"/>
          <w:szCs w:val="16"/>
        </w:rPr>
        <w:t>Multiplexing</w:t>
      </w:r>
      <w:r w:rsidRPr="00D9481E">
        <w:rPr>
          <w:sz w:val="16"/>
          <w:szCs w:val="16"/>
        </w:rPr>
        <w:t xml:space="preserve"> Separa un mezzo fisico in più canali logici per trasmissioni simultanee. TDM (Time </w:t>
      </w:r>
      <w:proofErr w:type="spellStart"/>
      <w:r w:rsidRPr="00D9481E">
        <w:rPr>
          <w:sz w:val="16"/>
          <w:szCs w:val="16"/>
        </w:rPr>
        <w:t>Division</w:t>
      </w:r>
      <w:proofErr w:type="spellEnd"/>
      <w:r w:rsidRPr="00D9481E">
        <w:rPr>
          <w:sz w:val="16"/>
          <w:szCs w:val="16"/>
        </w:rPr>
        <w:t xml:space="preserve">) divide il tempo in slot dentro frame; il MUX bufferizza e può inserire </w:t>
      </w:r>
      <w:proofErr w:type="spellStart"/>
      <w:r w:rsidRPr="00D9481E">
        <w:rPr>
          <w:sz w:val="16"/>
          <w:szCs w:val="16"/>
        </w:rPr>
        <w:t>padding</w:t>
      </w:r>
      <w:proofErr w:type="spellEnd"/>
      <w:r w:rsidRPr="00D9481E">
        <w:rPr>
          <w:sz w:val="16"/>
          <w:szCs w:val="16"/>
        </w:rPr>
        <w:t xml:space="preserve">, il DEMUX instrada gli slot ai destinatari appropriati. FDM (Frequency </w:t>
      </w:r>
      <w:proofErr w:type="spellStart"/>
      <w:r w:rsidRPr="00D9481E">
        <w:rPr>
          <w:sz w:val="16"/>
          <w:szCs w:val="16"/>
        </w:rPr>
        <w:t>Division</w:t>
      </w:r>
      <w:proofErr w:type="spellEnd"/>
      <w:r w:rsidRPr="00D9481E">
        <w:rPr>
          <w:sz w:val="16"/>
          <w:szCs w:val="16"/>
        </w:rPr>
        <w:t xml:space="preserve">) divide la banda in </w:t>
      </w:r>
      <w:proofErr w:type="spellStart"/>
      <w:r w:rsidRPr="00D9481E">
        <w:rPr>
          <w:sz w:val="16"/>
          <w:szCs w:val="16"/>
        </w:rPr>
        <w:t>sottocanali</w:t>
      </w:r>
      <w:proofErr w:type="spellEnd"/>
      <w:r w:rsidRPr="00D9481E">
        <w:rPr>
          <w:sz w:val="16"/>
          <w:szCs w:val="16"/>
        </w:rPr>
        <w:t xml:space="preserve"> a frequenze diverse per trasmettere in parallelo senza interferenze. WDM (</w:t>
      </w:r>
      <w:proofErr w:type="spellStart"/>
      <w:r w:rsidRPr="00D9481E">
        <w:rPr>
          <w:sz w:val="16"/>
          <w:szCs w:val="16"/>
        </w:rPr>
        <w:t>Wavelength</w:t>
      </w:r>
      <w:proofErr w:type="spellEnd"/>
      <w:r w:rsidRPr="00D9481E">
        <w:rPr>
          <w:sz w:val="16"/>
          <w:szCs w:val="16"/>
        </w:rPr>
        <w:t xml:space="preserve"> </w:t>
      </w:r>
      <w:proofErr w:type="spellStart"/>
      <w:r w:rsidRPr="00D9481E">
        <w:rPr>
          <w:sz w:val="16"/>
          <w:szCs w:val="16"/>
        </w:rPr>
        <w:t>Division</w:t>
      </w:r>
      <w:proofErr w:type="spellEnd"/>
      <w:r w:rsidRPr="00D9481E">
        <w:rPr>
          <w:sz w:val="16"/>
          <w:szCs w:val="16"/>
        </w:rPr>
        <w:t>) in fibra ottica usa diverse lunghezze d'onda come canali; in DWDM i canali adiacenti sono separati da meno di 1 nm, permettendo decine o centinaia di canali su una singola fibra. In sintesi: TDM sfrutta il tempo, FDM la frequenza, WDM la lunghezza d'onda.</w:t>
      </w:r>
      <w:r w:rsidRPr="00D9481E">
        <w:rPr>
          <w:rFonts w:ascii="Arial" w:hAnsi="Arial" w:cs="Arial"/>
          <w:sz w:val="16"/>
          <w:szCs w:val="16"/>
        </w:rPr>
        <w:t>​</w:t>
      </w:r>
    </w:p>
    <w:p w14:paraId="6DFFF123" w14:textId="77777777" w:rsidR="00D9481E" w:rsidRPr="00D9481E" w:rsidRDefault="00D9481E" w:rsidP="00D9481E">
      <w:pPr>
        <w:rPr>
          <w:sz w:val="16"/>
          <w:szCs w:val="16"/>
        </w:rPr>
      </w:pPr>
      <w:r w:rsidRPr="00D9481E">
        <w:rPr>
          <w:b/>
          <w:bCs/>
          <w:sz w:val="16"/>
          <w:szCs w:val="16"/>
        </w:rPr>
        <w:t>Codifica di linea</w:t>
      </w:r>
      <w:r w:rsidRPr="00D9481E">
        <w:rPr>
          <w:sz w:val="16"/>
          <w:szCs w:val="16"/>
        </w:rPr>
        <w:t> Trasforma i bit in segnale elettrico/ottico adatto al mezzo e incorpora il clock per mantenere il sincronismo. NRZ (Non-Return-to-Zero): alto=1, basso=0; è efficiente ma soffre quando ci sono sequenze lunghe di bit uguali, compromettendo il clock recovery. RZ (Return-to-Zero) riporta il segnale a zero a metà periodo; migliora alcune situazioni rispetto a NRZ. Manchester combina dati e clock imponendo almeno una transizione per bit; esistono due convenzioni (IEEE 802.3 e G.E. Thomas) opposte nel mapping; è robusta al sincronismo ma richiede circa il doppio della banda rispetto a NRZ. Manchester consente "violazioni" controllate (es. sequenza 1100 senza transizioni) per segnalare condizioni speciali come fine messaggio.</w:t>
      </w:r>
      <w:r w:rsidRPr="00D9481E">
        <w:rPr>
          <w:rFonts w:ascii="Arial" w:hAnsi="Arial" w:cs="Arial"/>
          <w:sz w:val="16"/>
          <w:szCs w:val="16"/>
        </w:rPr>
        <w:t>​</w:t>
      </w:r>
    </w:p>
    <w:p w14:paraId="0ED2AD2A" w14:textId="77777777" w:rsidR="00D9481E" w:rsidRPr="00D9481E" w:rsidRDefault="00D9481E" w:rsidP="00D9481E">
      <w:pPr>
        <w:rPr>
          <w:sz w:val="16"/>
          <w:szCs w:val="16"/>
        </w:rPr>
      </w:pPr>
      <w:r w:rsidRPr="00D9481E">
        <w:rPr>
          <w:b/>
          <w:bCs/>
          <w:sz w:val="16"/>
          <w:szCs w:val="16"/>
        </w:rPr>
        <w:t>Direzioni e topologie</w:t>
      </w:r>
      <w:r w:rsidRPr="00D9481E">
        <w:rPr>
          <w:sz w:val="16"/>
          <w:szCs w:val="16"/>
        </w:rPr>
        <w:t xml:space="preserve"> Simplex: comunicazione in una sola direzione (es. megafono). Half-duplex: entrambe le direzioni ma non simultanee (es. walkie-talkie). Full-duplex: entrambe le direzioni contemporanee (es. telefonia). </w:t>
      </w:r>
      <w:proofErr w:type="spellStart"/>
      <w:r w:rsidRPr="00D9481E">
        <w:rPr>
          <w:sz w:val="16"/>
          <w:szCs w:val="16"/>
        </w:rPr>
        <w:t>Point-to-point</w:t>
      </w:r>
      <w:proofErr w:type="spellEnd"/>
      <w:r w:rsidRPr="00D9481E">
        <w:rPr>
          <w:sz w:val="16"/>
          <w:szCs w:val="16"/>
        </w:rPr>
        <w:t>: un mittente e un ricevitore (</w:t>
      </w:r>
      <w:proofErr w:type="spellStart"/>
      <w:r w:rsidRPr="00D9481E">
        <w:rPr>
          <w:sz w:val="16"/>
          <w:szCs w:val="16"/>
        </w:rPr>
        <w:t>unicast</w:t>
      </w:r>
      <w:proofErr w:type="spellEnd"/>
      <w:r w:rsidRPr="00D9481E">
        <w:rPr>
          <w:sz w:val="16"/>
          <w:szCs w:val="16"/>
        </w:rPr>
        <w:t>). Point-to-multipoint: un mittente, molti ricevitori—Broadcast verso destinatari non specificati; Multicast verso un gruppo definito autorizzato.</w:t>
      </w:r>
      <w:r w:rsidRPr="00D9481E">
        <w:rPr>
          <w:rFonts w:ascii="Arial" w:hAnsi="Arial" w:cs="Arial"/>
          <w:sz w:val="16"/>
          <w:szCs w:val="16"/>
        </w:rPr>
        <w:t>​</w:t>
      </w:r>
    </w:p>
    <w:p w14:paraId="4349CD3E" w14:textId="77777777" w:rsidR="00D9481E" w:rsidRPr="00D9481E" w:rsidRDefault="00D9481E" w:rsidP="00D9481E">
      <w:pPr>
        <w:rPr>
          <w:sz w:val="16"/>
          <w:szCs w:val="16"/>
        </w:rPr>
      </w:pPr>
      <w:r w:rsidRPr="00D9481E">
        <w:rPr>
          <w:b/>
          <w:bCs/>
          <w:sz w:val="16"/>
          <w:szCs w:val="16"/>
        </w:rPr>
        <w:t xml:space="preserve">Throughput e </w:t>
      </w:r>
      <w:proofErr w:type="spellStart"/>
      <w:r w:rsidRPr="00D9481E">
        <w:rPr>
          <w:b/>
          <w:bCs/>
          <w:sz w:val="16"/>
          <w:szCs w:val="16"/>
        </w:rPr>
        <w:t>bandwidth</w:t>
      </w:r>
      <w:proofErr w:type="spellEnd"/>
      <w:r w:rsidRPr="00D9481E">
        <w:rPr>
          <w:sz w:val="16"/>
          <w:szCs w:val="16"/>
        </w:rPr>
        <w:t xml:space="preserve"> Throughput è la quantità reale di dati trasmessa al secondo in bit/s, misura effettiva dell'efficienza del canale. </w:t>
      </w:r>
      <w:proofErr w:type="spellStart"/>
      <w:r w:rsidRPr="00D9481E">
        <w:rPr>
          <w:sz w:val="16"/>
          <w:szCs w:val="16"/>
        </w:rPr>
        <w:t>Bandwidth</w:t>
      </w:r>
      <w:proofErr w:type="spellEnd"/>
      <w:r w:rsidRPr="00D9481E">
        <w:rPr>
          <w:sz w:val="16"/>
          <w:szCs w:val="16"/>
        </w:rPr>
        <w:t xml:space="preserve"> è la capacità massima teorica del canale in bit/s (analogia: numero di corsie autostradali che limita il flusso massimo). Unità comuni: Kbps = 10³ bps, Mbps = 10⁶ bps, Gbps = 10⁹ bps, </w:t>
      </w:r>
      <w:proofErr w:type="spellStart"/>
      <w:r w:rsidRPr="00D9481E">
        <w:rPr>
          <w:sz w:val="16"/>
          <w:szCs w:val="16"/>
        </w:rPr>
        <w:t>Tbps</w:t>
      </w:r>
      <w:proofErr w:type="spellEnd"/>
      <w:r w:rsidRPr="00D9481E">
        <w:rPr>
          <w:sz w:val="16"/>
          <w:szCs w:val="16"/>
        </w:rPr>
        <w:t xml:space="preserve"> = 10¹² bps.</w:t>
      </w:r>
      <w:r w:rsidRPr="00D9481E">
        <w:rPr>
          <w:rFonts w:ascii="Arial" w:hAnsi="Arial" w:cs="Arial"/>
          <w:sz w:val="16"/>
          <w:szCs w:val="16"/>
        </w:rPr>
        <w:t>​</w:t>
      </w:r>
    </w:p>
    <w:p w14:paraId="0153AB14" w14:textId="77777777" w:rsidR="00D9481E" w:rsidRPr="00D9481E" w:rsidRDefault="00D9481E" w:rsidP="00D9481E">
      <w:pPr>
        <w:rPr>
          <w:sz w:val="16"/>
          <w:szCs w:val="16"/>
        </w:rPr>
      </w:pPr>
      <w:r w:rsidRPr="00D9481E">
        <w:rPr>
          <w:b/>
          <w:bCs/>
          <w:sz w:val="16"/>
          <w:szCs w:val="16"/>
        </w:rPr>
        <w:t>Controllo e correzione degli errori</w:t>
      </w:r>
      <w:r w:rsidRPr="00D9481E">
        <w:rPr>
          <w:sz w:val="16"/>
          <w:szCs w:val="16"/>
        </w:rPr>
        <w:t xml:space="preserve"> Si aggiungono r bit di ridondanza ai m bit informativi per ottenere </w:t>
      </w:r>
      <w:proofErr w:type="spellStart"/>
      <w:r w:rsidRPr="00D9481E">
        <w:rPr>
          <w:sz w:val="16"/>
          <w:szCs w:val="16"/>
        </w:rPr>
        <w:t>codeword</w:t>
      </w:r>
      <w:proofErr w:type="spellEnd"/>
      <w:r w:rsidRPr="00D9481E">
        <w:rPr>
          <w:sz w:val="16"/>
          <w:szCs w:val="16"/>
        </w:rPr>
        <w:t xml:space="preserve"> di lunghezza n = m + r, riducendo l'insieme delle configurazioni valide per rilevare e/o correggere errori. La distanza di </w:t>
      </w:r>
      <w:proofErr w:type="spellStart"/>
      <w:r w:rsidRPr="00D9481E">
        <w:rPr>
          <w:sz w:val="16"/>
          <w:szCs w:val="16"/>
        </w:rPr>
        <w:t>Hamming</w:t>
      </w:r>
      <w:proofErr w:type="spellEnd"/>
      <w:r w:rsidRPr="00D9481E">
        <w:rPr>
          <w:sz w:val="16"/>
          <w:szCs w:val="16"/>
        </w:rPr>
        <w:t xml:space="preserve"> minima d determina le capacità: per rilevare k errori serve d ≥ k + 1; per correggere k errori serve d ≥ 2k + 1. Parità aggiunge 1 bit per rendere pari o dispari il numero totale di 1; ha distanza 2, rileva errori singoli (o numero dispari) ma non li corregge perché non individua la posizione. CRC (</w:t>
      </w:r>
      <w:proofErr w:type="spellStart"/>
      <w:r w:rsidRPr="00D9481E">
        <w:rPr>
          <w:sz w:val="16"/>
          <w:szCs w:val="16"/>
        </w:rPr>
        <w:t>Cyclic</w:t>
      </w:r>
      <w:proofErr w:type="spellEnd"/>
      <w:r w:rsidRPr="00D9481E">
        <w:rPr>
          <w:sz w:val="16"/>
          <w:szCs w:val="16"/>
        </w:rPr>
        <w:t xml:space="preserve"> </w:t>
      </w:r>
      <w:proofErr w:type="spellStart"/>
      <w:r w:rsidRPr="00D9481E">
        <w:rPr>
          <w:sz w:val="16"/>
          <w:szCs w:val="16"/>
        </w:rPr>
        <w:t>Redundancy</w:t>
      </w:r>
      <w:proofErr w:type="spellEnd"/>
      <w:r w:rsidRPr="00D9481E">
        <w:rPr>
          <w:sz w:val="16"/>
          <w:szCs w:val="16"/>
        </w:rPr>
        <w:t xml:space="preserve"> Check) usa un polinomio generatore G(x) condiviso; il trasmettitore calcola il resto R(x) della divisione modulo 2 via XOR e lo appende ai dati; il ricevitore ridivide e accetta solo se il resto è nullo. Schema operativo CRC: aggiungere zeri pari al grado di G(x), dividere D(x) per G(x) con XOR, sostituire il resto agli zeri, in ricezione ridividere e verificare resto zero.</w:t>
      </w:r>
      <w:r w:rsidRPr="00D9481E">
        <w:rPr>
          <w:rFonts w:ascii="Arial" w:hAnsi="Arial" w:cs="Arial"/>
          <w:sz w:val="16"/>
          <w:szCs w:val="16"/>
        </w:rPr>
        <w:t>​</w:t>
      </w:r>
    </w:p>
    <w:p w14:paraId="01D6D2CB" w14:textId="77777777" w:rsidR="00D9481E" w:rsidRPr="00D9481E" w:rsidRDefault="00D9481E" w:rsidP="00D9481E">
      <w:pPr>
        <w:rPr>
          <w:sz w:val="16"/>
          <w:szCs w:val="16"/>
        </w:rPr>
      </w:pPr>
      <w:r w:rsidRPr="00D9481E">
        <w:rPr>
          <w:b/>
          <w:bCs/>
          <w:sz w:val="16"/>
          <w:szCs w:val="16"/>
        </w:rPr>
        <w:t>Integrazioni finali</w:t>
      </w:r>
      <w:r w:rsidRPr="00D9481E">
        <w:rPr>
          <w:sz w:val="16"/>
          <w:szCs w:val="16"/>
        </w:rPr>
        <w:t> Efficienza di codifica: Manchester raddoppia la banda richiesta ma garantisce sincronismo, NRZ è efficiente ma fragile; la scelta dipende dal trade-off. Codifica di linea e modulazione operano a livelli diversi: codifica definisce il segnale in banda base, modulazione mappa bit su portante analogica; si usano entrambe in sistemi reali. Uso multiplexing: TDM diffuso su rame e risorse time-</w:t>
      </w:r>
      <w:proofErr w:type="spellStart"/>
      <w:r w:rsidRPr="00D9481E">
        <w:rPr>
          <w:sz w:val="16"/>
          <w:szCs w:val="16"/>
        </w:rPr>
        <w:t>shared</w:t>
      </w:r>
      <w:proofErr w:type="spellEnd"/>
      <w:r w:rsidRPr="00D9481E">
        <w:rPr>
          <w:sz w:val="16"/>
          <w:szCs w:val="16"/>
        </w:rPr>
        <w:t>, FDM in radio/DSL tradizionali, WDM/DWDM standard in fibra per capacità multi-</w:t>
      </w:r>
      <w:proofErr w:type="spellStart"/>
      <w:r w:rsidRPr="00D9481E">
        <w:rPr>
          <w:sz w:val="16"/>
          <w:szCs w:val="16"/>
        </w:rPr>
        <w:t>Tbps</w:t>
      </w:r>
      <w:proofErr w:type="spellEnd"/>
      <w:r w:rsidRPr="00D9481E">
        <w:rPr>
          <w:sz w:val="16"/>
          <w:szCs w:val="16"/>
        </w:rPr>
        <w:t xml:space="preserve"> su singola fibra</w:t>
      </w:r>
    </w:p>
    <w:p w14:paraId="32BACB4C" w14:textId="44DD5FED" w:rsidR="00816D5D" w:rsidRPr="00D9481E" w:rsidRDefault="00816D5D" w:rsidP="00D9481E">
      <w:pPr>
        <w:rPr>
          <w:sz w:val="16"/>
          <w:szCs w:val="16"/>
        </w:rPr>
      </w:pPr>
    </w:p>
    <w:sectPr w:rsidR="00816D5D" w:rsidRPr="00D948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C2217"/>
    <w:multiLevelType w:val="multilevel"/>
    <w:tmpl w:val="05EC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3023FC"/>
    <w:multiLevelType w:val="multilevel"/>
    <w:tmpl w:val="4FD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3751AD"/>
    <w:multiLevelType w:val="multilevel"/>
    <w:tmpl w:val="380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A86C0F"/>
    <w:multiLevelType w:val="multilevel"/>
    <w:tmpl w:val="A3F6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BC6575"/>
    <w:multiLevelType w:val="multilevel"/>
    <w:tmpl w:val="EEF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574302"/>
    <w:multiLevelType w:val="multilevel"/>
    <w:tmpl w:val="BA9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9313C3"/>
    <w:multiLevelType w:val="multilevel"/>
    <w:tmpl w:val="A38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0393685">
    <w:abstractNumId w:val="3"/>
  </w:num>
  <w:num w:numId="2" w16cid:durableId="527915997">
    <w:abstractNumId w:val="2"/>
  </w:num>
  <w:num w:numId="3" w16cid:durableId="1899784446">
    <w:abstractNumId w:val="5"/>
  </w:num>
  <w:num w:numId="4" w16cid:durableId="718163205">
    <w:abstractNumId w:val="1"/>
  </w:num>
  <w:num w:numId="5" w16cid:durableId="1463964549">
    <w:abstractNumId w:val="6"/>
  </w:num>
  <w:num w:numId="6" w16cid:durableId="1285846127">
    <w:abstractNumId w:val="4"/>
  </w:num>
  <w:num w:numId="7" w16cid:durableId="1273324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1E"/>
    <w:rsid w:val="00196D27"/>
    <w:rsid w:val="00816D5D"/>
    <w:rsid w:val="00A37AF8"/>
    <w:rsid w:val="00D9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BA340"/>
  <w15:chartTrackingRefBased/>
  <w15:docId w15:val="{67D3596A-852C-4807-A959-2A3E7C858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9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9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94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9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94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9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9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9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9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4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94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94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9481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481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481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481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481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481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9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4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94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9481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9481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9481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94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9481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94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7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Porcu</dc:creator>
  <cp:keywords/>
  <dc:description/>
  <cp:lastModifiedBy>Matteo Porcu</cp:lastModifiedBy>
  <cp:revision>1</cp:revision>
  <dcterms:created xsi:type="dcterms:W3CDTF">2025-10-27T16:19:00Z</dcterms:created>
  <dcterms:modified xsi:type="dcterms:W3CDTF">2025-10-27T16:25:00Z</dcterms:modified>
</cp:coreProperties>
</file>