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Glossario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Cronologia versioni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Ind w:w="108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407"/>
        <w:gridCol w:w="2408"/>
        <w:gridCol w:w="2408"/>
        <w:gridCol w:w="2407"/>
        <w:tblGridChange w:id="0">
          <w:tblGrid>
            <w:gridCol w:w="2407"/>
            <w:gridCol w:w="2408"/>
            <w:gridCol w:w="2408"/>
            <w:gridCol w:w="2407"/>
          </w:tblGrid>
        </w:tblGridChange>
      </w:tblGrid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Versione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Autori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4"/>
                <w:szCs w:val="24"/>
                <w:rtl w:val="0"/>
              </w:rPr>
              <w:t xml:space="preserve">Bozza di ideazione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5 dicembre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Prima bozza documento di visione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Matteo Secondo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Octavian Dragos Russo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Cristian Torrisi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Definizioni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Termine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Definizione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Controllore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Addetto alla supervisione dell’Automezzo e alla timbratura dei Biglietti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Amministratore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Gestore del servizio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Cliente del servizio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Itinerario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Percorso tracciato da una posizione di partenza sino a una posizione di destinazione: incluse le posizioni intermedie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Segnalazione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Messaggio inviato dall’Utente verso l’Amministratore, riguardante un problema non noto al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Avviso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Messaggio inviato dall’Amministratore verso gli Utente mediante apposito spazio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Fermata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Posizione di partenza o di arrivo, possono coincidere con nomi di stazioni, piazze o vie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0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18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324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