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612775" cy="636270"/>
            <wp:effectExtent l="0" t="0" r="0" b="0"/>
            <wp:docPr id="1" name="Immagine 4" descr="indiri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4" descr="indirizz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/>
        <w:drawing>
          <wp:inline distT="0" distB="0" distL="0" distR="0">
            <wp:extent cx="727710" cy="553720"/>
            <wp:effectExtent l="0" t="0" r="0" b="0"/>
            <wp:docPr id="2" name="Immagine 3" descr="ip_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ip_la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-82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25845" cy="24765"/>
                <wp:effectExtent l="0" t="0" r="0" b="0"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0" cy="2412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fillcolor="#aca899" stroked="f" style="position:absolute;margin-left:0pt;margin-top:-1.95pt;width:482.25pt;height:1.8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Digital Forensics –  Febbraio  2022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Didefault"/>
        <w:numPr>
          <w:ilvl w:val="0"/>
          <w:numId w:val="1"/>
        </w:numPr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 Forensics e Disk Forensics: caratteristiche di base e differenze  nelle modalità operative di acquisizione e  di analisi</w:t>
      </w:r>
    </w:p>
    <w:p>
      <w:pPr>
        <w:pStyle w:val="Didefault"/>
        <w:numPr>
          <w:ilvl w:val="0"/>
          <w:numId w:val="1"/>
        </w:numPr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Elencare presupposti e fattispecie tipiche degli accertamenti da eseguirsi in modalità ripetibile e irripetibile</w:t>
      </w:r>
    </w:p>
    <w:p>
      <w:pPr>
        <w:pStyle w:val="Didefault"/>
        <w:numPr>
          <w:ilvl w:val="0"/>
          <w:numId w:val="1"/>
        </w:numPr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Elencare le tipiche fasi della Digital Forensics, rapportandole poi ad un possibile caso di studio che coinvolga contenuti multimediali.</w:t>
      </w:r>
    </w:p>
    <w:p>
      <w:pPr>
        <w:pStyle w:val="Didefault"/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jc w:val="both"/>
        <w:rPr>
          <w:rFonts w:ascii="Helvetica" w:hAnsi="Helvetica" w:eastAsia="Arial Unicode MS" w:cs="Arial Unicode MS"/>
          <w:color w:val="000000" w:themeColor="text1" w:themeShade="ff" w:themeTint="ff"/>
          <w:lang w:val="it-IT"/>
        </w:rPr>
      </w:pPr>
      <w:r>
        <w:rPr>
          <w:rFonts w:eastAsia="Arial Unicode MS" w:cs="Arial Unicode MS"/>
          <w:color w:val="000000" w:themeColor="text1" w:themeShade="ff" w:themeTint="ff"/>
          <w:sz w:val="24"/>
          <w:szCs w:val="24"/>
        </w:rPr>
        <w:t xml:space="preserve">          </w:t>
      </w:r>
      <w:r>
        <w:rPr>
          <w:rFonts w:eastAsia="Arial Unicode MS" w:cs="Arial Unicode MS"/>
          <w:color w:val="000000" w:themeColor="text1" w:themeShade="ff" w:themeTint="ff"/>
          <w:sz w:val="24"/>
          <w:szCs w:val="24"/>
        </w:rPr>
        <w:t xml:space="preserve">- </w:t>
      </w:r>
      <w:r>
        <w:rPr>
          <w:lang w:val="it-IT"/>
        </w:rPr>
        <w:t>la digital forensics è la disciplina che si occupa delle attività d’indagine e consulenze informatiche su dispositivi cellulari utilizzando le tecniche seguente: Identificazione, acquisizione, analisi, valutazione, presentazione.</w:t>
      </w:r>
    </w:p>
    <w:p>
      <w:pPr>
        <w:pStyle w:val="Didefault"/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jc w:val="both"/>
        <w:rPr>
          <w:rFonts w:ascii="Helvetica" w:hAnsi="Helvetica" w:eastAsia="Arial Unicode MS" w:cs="Arial Unicode MS"/>
          <w:color w:val="000000" w:themeColor="text1" w:themeShade="ff" w:themeTint="ff"/>
          <w:lang w:val="it-IT"/>
        </w:rPr>
      </w:pPr>
      <w:r>
        <w:rPr>
          <w:rFonts w:eastAsia="Arial Unicode MS" w:cs="Arial Unicode MS"/>
          <w:color w:val="000000" w:themeColor="text1" w:themeShade="ff" w:themeTint="ff"/>
          <w:lang w:val="it-IT"/>
        </w:rPr>
        <w:t xml:space="preserve">                </w:t>
      </w:r>
      <w:r>
        <w:rPr>
          <w:rFonts w:eastAsia="Arial Unicode MS" w:cs="Arial Unicode MS"/>
          <w:color w:val="000000" w:themeColor="text1" w:themeShade="ff" w:themeTint="ff"/>
          <w:lang w:val="it-IT"/>
        </w:rPr>
        <w:t>- Identificazione: Sta nel rilevare cos’è effettivamente utile per l’indagine</w:t>
      </w:r>
    </w:p>
    <w:p>
      <w:pPr>
        <w:pStyle w:val="Didefault"/>
        <w:numPr>
          <w:ilvl w:val="0"/>
          <w:numId w:val="1"/>
        </w:numPr>
        <w:tabs>
          <w:tab w:val="clear" w:pos="708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Modalità di acquisizione e certificazione di un contenuto diffamatorio presente sulla piattaforma Facebook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720" w:hanging="0"/>
        <w:jc w:val="both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rFonts w:eastAsia="Calibri" w:cs="Times New Roman" w:ascii="Times New Roman" w:hAnsi="Times New Roman"/>
          <w:b/>
          <w:color w:val="000009"/>
          <w:sz w:val="24"/>
          <w:szCs w:val="24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rFonts w:eastAsia="Calibri" w:cs="Times New Roman" w:ascii="Times New Roman" w:hAnsi="Times New Roman"/>
          <w:b/>
          <w:color w:val="000009"/>
          <w:sz w:val="24"/>
          <w:szCs w:val="24"/>
          <w:u w:val="none" w:color="000009"/>
        </w:rPr>
        <w:t>La disciplina Multimedia Forensics si occupa di elaborare dati multimediali al fine di procedere con: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jc w:val="both"/>
        <w:rPr>
          <w:color w:val="auto"/>
          <w:highlight w:val="yellow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highlight w:val="yellow"/>
          <w:u w:val="none" w:color="000009"/>
        </w:rPr>
        <w:t>Identificazione della sorgente di acquisizione e verifica di integrità dei reperti multimediali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72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rFonts w:eastAsia="Calibri" w:cs="Times New Roman" w:ascii="Times New Roman" w:hAnsi="Times New Roman"/>
          <w:b/>
          <w:color w:val="000009"/>
          <w:sz w:val="24"/>
          <w:szCs w:val="24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color w:val="000000"/>
          <w:sz w:val="24"/>
          <w:szCs w:val="24"/>
          <w:u w:val="none" w:color="000009"/>
        </w:rPr>
        <w:t>2) Per la rimozione di rumore “salt&amp;pepper” quale filtro è più indicato: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  <w:u w:val="none" w:color="000009"/>
        </w:rPr>
        <w:t>b. Applicare il filtro mediano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highlight w:val="yellow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highlight w:val="yellow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u w:val="none" w:color="000009"/>
        </w:rPr>
        <w:t>Tecnica di riduzione del rumore indicata nel caso di rumore periodico?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  <w:u w:val="none" w:color="000009"/>
        </w:rPr>
        <w:t>R: passa banda in frequenza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rFonts w:eastAsia="Calibri" w:cs="Times New Roman" w:ascii="Times New Roman" w:hAnsi="Times New Roman"/>
          <w:b/>
          <w:color w:val="000009"/>
          <w:sz w:val="24"/>
          <w:szCs w:val="24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 w:color="000009"/>
        </w:rPr>
        <w:t>3) A cosa è dovuto il problema dell’’effetto blocking” su immagini/video?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  <w:u w:val="none" w:color="000009"/>
        </w:rPr>
        <w:t>c. Al fattore di compressione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u w:val="none" w:color="000009"/>
        </w:rPr>
        <w:t>L’enhancement del contrasto attraverso una tecnica di equalizzazione: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u w:val="none" w:color="000009"/>
        </w:rPr>
        <w:t>R: modifica l’istogramma distribuendo in maniera più uniforme le varie tonalità del segnale.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u w:val="none" w:color="000009"/>
        </w:rPr>
        <w:t>Tecniche di zooming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u w:val="none" w:color="000009"/>
        </w:rPr>
        <w:t>R: aumentano la dimensione dell’immagine applicando apposite tecniche di interpolazione.</w:t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u w:val="none" w:color="000009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u w:val="none" w:color="000009"/>
        </w:rPr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Helvetica" w:hAnsi="Helvetica" w:eastAsia="Arial Unicode MS" w:cs="Arial Unicode MS"/>
          <w:color w:val="000000"/>
          <w:kern w:val="0"/>
          <w:sz w:val="22"/>
          <w:szCs w:val="22"/>
          <w:u w:val="none" w:color="000000"/>
          <w:lang w:val="it-IT" w:eastAsia="it-IT" w:bidi="ar-SA"/>
        </w:rPr>
      </w:pPr>
      <w:r>
        <w:rPr>
          <w:rFonts w:eastAsia="Arial Unicode MS" w:cs="Arial Unicode MS"/>
          <w:color w:val="000000"/>
          <w:kern w:val="0"/>
          <w:sz w:val="22"/>
          <w:szCs w:val="22"/>
          <w:u w:val="none" w:color="000000"/>
          <w:lang w:val="it-IT" w:eastAsia="it-IT" w:bidi="ar-SA"/>
        </w:rPr>
        <w:t>Domanede possibili (parere mio):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Image/Video forensics procedura</w:t>
      </w:r>
      <w:r>
        <w:rPr/>
        <w:t>: Preservare, Documentare, Riproducibilità.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Immagine:</w:t>
      </w:r>
      <w:r>
        <w:rPr/>
        <w:t xml:space="preserve"> è una funzione 2D.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Migliorare aspetto di un’immagine</w:t>
      </w:r>
      <w:r>
        <w:rPr/>
        <w:t>: look-up tables (impl op puntuali).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rFonts w:eastAsia="Calibri" w:cs="Times New Roman" w:ascii="Times New Roman" w:hAnsi="Times New Roman"/>
          <w:b/>
          <w:color w:val="000009"/>
          <w:sz w:val="24"/>
          <w:szCs w:val="24"/>
          <w:u w:val="none" w:color="000009"/>
        </w:rPr>
        <w:t xml:space="preserve">– </w:t>
      </w:r>
      <w:r>
        <w:rPr>
          <w:rFonts w:eastAsia="Calibri" w:cs="Times New Roman" w:ascii="Times New Roman" w:hAnsi="Times New Roman"/>
          <w:b w:val="false"/>
          <w:bCs w:val="false"/>
          <w:color w:val="3465A4"/>
          <w:sz w:val="24"/>
          <w:szCs w:val="24"/>
          <w:u w:val="none" w:color="000009"/>
        </w:rPr>
        <w:t>look-up tables:</w:t>
      </w:r>
      <w:r>
        <w:rPr>
          <w:rFonts w:eastAsia="Calibri" w:cs="Times New Roman" w:ascii="Times New Roman" w:hAnsi="Times New Roman"/>
          <w:b w:val="false"/>
          <w:bCs w:val="false"/>
          <w:color w:val="000009"/>
          <w:sz w:val="24"/>
          <w:szCs w:val="24"/>
          <w:u w:val="none" w:color="000009"/>
        </w:rPr>
        <w:t xml:space="preserve"> migliora il contrasto.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Video digitale</w:t>
      </w:r>
      <w:r>
        <w:rPr/>
        <w:t>: immagini visualizzate in sequenza con una frequenza temporale.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>–</w:t>
      </w:r>
      <w:r>
        <w:rPr>
          <w:color w:val="3465A4"/>
        </w:rPr>
        <w:t xml:space="preserve"> </w:t>
      </w:r>
      <w:r>
        <w:rPr>
          <w:color w:val="3465A4"/>
        </w:rPr>
        <w:t>Risoluzione spaziale</w:t>
      </w:r>
      <w:r>
        <w:rPr/>
        <w:t>: riferita al num di pixel di un’immagine (“risoluzione pixel”).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Risoluzione temporale</w:t>
      </w:r>
      <w:r>
        <w:rPr/>
        <w:t>: riferita al num di immagini per unità di tempo che vengono visualizzate (risoluzione frame rate).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MP</w:t>
      </w:r>
      <w:r>
        <w:rPr/>
        <w:t>: unità di misura che equivale a 1mln di pixel (non è diretto indice di qualità delle macchine fotografiche).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Interlacing</w:t>
      </w:r>
      <w:r>
        <w:rPr/>
        <w:t>: immagine divisa in field pari o dispari.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Codec</w:t>
      </w:r>
      <w:r>
        <w:rPr/>
        <w:t>: è un software.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enCoder</w:t>
      </w:r>
      <w:r>
        <w:rPr/>
        <w:t>: comprime le immagini archiviandole in file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Decoder</w:t>
      </w:r>
      <w:r>
        <w:rPr/>
        <w:t>: decomprime le immagini per poterle visualizzare.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Lossles</w:t>
      </w:r>
      <w:r>
        <w:rPr/>
        <w:t>: compressione reversibile.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>Lossy</w:t>
      </w:r>
      <w:r>
        <w:rPr/>
        <w:t>: compressione non reversibile.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/>
        <w:t xml:space="preserve">– </w:t>
      </w:r>
      <w:r>
        <w:rPr>
          <w:color w:val="3465A4"/>
        </w:rPr>
        <w:t xml:space="preserve">Intraframes: </w:t>
      </w:r>
      <w:r>
        <w:rPr>
          <w:color w:val="auto"/>
        </w:rPr>
        <w:t>rimuovere ridondanza spaziale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 xml:space="preserve">Inter-frames: </w:t>
      </w:r>
      <w:r>
        <w:rPr>
          <w:color w:val="auto"/>
        </w:rPr>
        <w:t>ridondanza temporale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Quale tra le frequenze di un’immagine è possibile buttar via</w:t>
      </w:r>
      <w:r>
        <w:rPr>
          <w:color w:val="auto"/>
        </w:rPr>
        <w:t>: alte frequenze.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Intra-frames</w:t>
      </w:r>
      <w:r>
        <w:rPr>
          <w:color w:val="auto"/>
        </w:rPr>
        <w:t>: indipendente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P-frames</w:t>
      </w:r>
      <w:r>
        <w:rPr>
          <w:color w:val="auto"/>
        </w:rPr>
        <w:t>: codificato usando informazioni del fotogramma che lo precede che sia I o P.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B-frames</w:t>
      </w:r>
      <w:r>
        <w:rPr>
          <w:color w:val="auto"/>
        </w:rPr>
        <w:t>: bidirezionale, fa riferimento a ciò che lo precede e ciò che segue.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Image enhancement/restoration</w:t>
      </w:r>
      <w:r>
        <w:rPr>
          <w:color w:val="auto"/>
        </w:rPr>
        <w:t>: enfatizzare/modificare segnale originale per migliorare la qualità o invertire il processo di degrado.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Motion blur</w:t>
      </w:r>
      <w:r>
        <w:rPr>
          <w:color w:val="auto"/>
        </w:rPr>
        <w:t>: sfocatura da movimento.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registrazione di immagini:</w:t>
      </w:r>
      <w:r>
        <w:rPr>
          <w:color w:val="auto"/>
        </w:rPr>
        <w:t xml:space="preserve"> processo in cui vengono sovrapposto più immagini rappresentanti una scena presa in istanti differenti etc..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trasformazione di base 2D</w:t>
      </w:r>
      <w:r>
        <w:rPr>
          <w:color w:val="auto"/>
        </w:rPr>
        <w:t>: espressa come prodotto tra vettore colonna delle coordinate omogenee del punto e matrice di trasformazione [3x3]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trasformazione prospettica</w:t>
      </w:r>
      <w:r>
        <w:rPr>
          <w:color w:val="auto"/>
        </w:rPr>
        <w:t>: trasformazione dai punti 3D ai punti 2D.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trasformazione proiettiva</w:t>
      </w:r>
      <w:r>
        <w:rPr>
          <w:color w:val="auto"/>
        </w:rPr>
        <w:t>: i punti 3D si trovano approx sullo stesso piano 2D.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motion detection</w:t>
      </w:r>
      <w:r>
        <w:rPr>
          <w:color w:val="auto"/>
        </w:rPr>
        <w:t>: tecnica per riconoscere il movimento.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>–</w:t>
      </w:r>
      <w:r>
        <w:rPr>
          <w:color w:val="3465A4"/>
        </w:rPr>
        <w:t xml:space="preserve"> </w:t>
      </w:r>
      <w:r>
        <w:rPr>
          <w:color w:val="3465A4"/>
        </w:rPr>
        <w:t>tipi di contraffazione di un’immagine digitale</w:t>
      </w:r>
      <w:r>
        <w:rPr>
          <w:color w:val="auto"/>
        </w:rPr>
        <w:t>: immagine creata tramite sw grafico/AI, contenuto alterato, contesto alterato.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modifica delle immagini</w:t>
      </w:r>
      <w:r>
        <w:rPr>
          <w:color w:val="auto"/>
        </w:rPr>
        <w:t>: altera il contenuto semantico aggiungendo/rimuovendo informazioni.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watermarking</w:t>
      </w:r>
      <w:r>
        <w:rPr>
          <w:color w:val="auto"/>
        </w:rPr>
        <w:t>: nascondere qualcosa in un’immagine quando viene creata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watermarking</w:t>
      </w:r>
      <w:r>
        <w:rPr>
          <w:color w:val="auto"/>
        </w:rPr>
        <w:t xml:space="preserve"> </w:t>
      </w:r>
      <w:r>
        <w:rPr>
          <w:color w:val="3465A4"/>
        </w:rPr>
        <w:t>visibile</w:t>
      </w:r>
      <w:r>
        <w:rPr>
          <w:color w:val="auto"/>
        </w:rPr>
        <w:t>: immagine traslucida visibile sovrapposta sull’immagine principale.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watermarking</w:t>
      </w:r>
      <w:r>
        <w:rPr>
          <w:color w:val="auto"/>
        </w:rPr>
        <w:t xml:space="preserve"> </w:t>
      </w:r>
      <w:r>
        <w:rPr>
          <w:color w:val="3465A4"/>
        </w:rPr>
        <w:t>invisibile</w:t>
      </w:r>
      <w:r>
        <w:rPr>
          <w:color w:val="auto"/>
        </w:rPr>
        <w:t>: immagine sovrapposta non visibile ma rilevabile algoritmicamente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Analisi scene level</w:t>
      </w:r>
      <w:r>
        <w:rPr>
          <w:color w:val="auto"/>
        </w:rPr>
        <w:t>: analizzare caratteristiche della scena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Physics</w:t>
      </w:r>
      <w:r>
        <w:rPr>
          <w:color w:val="auto"/>
        </w:rPr>
        <w:t xml:space="preserve"> </w:t>
      </w:r>
      <w:r>
        <w:rPr>
          <w:color w:val="3465A4"/>
        </w:rPr>
        <w:t>based</w:t>
      </w:r>
      <w:r>
        <w:rPr>
          <w:color w:val="auto"/>
        </w:rPr>
        <w:t>: analizzare incongruenze di illuminazione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Signal level:</w:t>
      </w:r>
      <w:r>
        <w:rPr>
          <w:color w:val="auto"/>
        </w:rPr>
        <w:t xml:space="preserve"> analizzare caratteristiche statistiche dei valori dei pixel.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Resampling</w:t>
      </w:r>
      <w:r>
        <w:rPr>
          <w:color w:val="auto"/>
        </w:rPr>
        <w:t>: ricampionare l’immagine di partenza in una nuova griglia di destinazione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trasformazioni</w:t>
      </w:r>
      <w:r>
        <w:rPr>
          <w:color w:val="auto"/>
        </w:rPr>
        <w:t>: rotazione, scala lungo asse x/y, copr sui 4 lati, flip orizzontale.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metrica similarità</w:t>
      </w:r>
      <w:r>
        <w:rPr>
          <w:color w:val="auto"/>
        </w:rPr>
        <w:t>: media differenze in valore assoulto tra input e il suo clone.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metrica similarità</w:t>
      </w:r>
      <w:r>
        <w:rPr>
          <w:color w:val="auto"/>
        </w:rPr>
        <w:t>: più vicina allo 0 altà probabilità che le regioni siano copia l’una dell’altra.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Camera based</w:t>
      </w:r>
      <w:r>
        <w:rPr>
          <w:color w:val="auto"/>
        </w:rPr>
        <w:t>: tecniche che determinano un collegamento tra fotocamera e immagine.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Exif</w:t>
      </w:r>
      <w:r>
        <w:rPr>
          <w:color w:val="auto"/>
        </w:rPr>
        <w:t>: file contenente informazioni come dim immagine, data, ora, acquisizione.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XMP:</w:t>
      </w:r>
      <w:r>
        <w:rPr>
          <w:color w:val="auto"/>
        </w:rPr>
        <w:t xml:space="preserve"> standard metadati applicazione adobe.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>–</w:t>
      </w:r>
      <w:r>
        <w:rPr>
          <w:color w:val="3465A4"/>
        </w:rPr>
        <w:t xml:space="preserve"> </w:t>
      </w:r>
      <w:r>
        <w:rPr>
          <w:color w:val="3465A4"/>
        </w:rPr>
        <w:t>Camera source identification noise based</w:t>
      </w:r>
      <w:r>
        <w:rPr>
          <w:color w:val="auto"/>
        </w:rPr>
        <w:t>: tramite rumore delle immagini possiamo risalire al sensore che ci permette di risalire alla fotocamera.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Crittografia</w:t>
      </w:r>
      <w:r>
        <w:rPr>
          <w:color w:val="auto"/>
        </w:rPr>
        <w:t>: nasconde contenuto</w:t>
      </w:r>
    </w:p>
    <w:p>
      <w:pPr>
        <w:pStyle w:val="Didefault"/>
        <w:numPr>
          <w:ilvl w:val="0"/>
          <w:numId w:val="0"/>
        </w:numPr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ind w:left="0" w:hanging="0"/>
        <w:rPr>
          <w:rFonts w:ascii="Times New Roman" w:hAnsi="Times New Roman" w:eastAsia="Calibri" w:cs="Times New Roman"/>
          <w:b/>
          <w:b/>
          <w:color w:val="000009"/>
          <w:sz w:val="24"/>
          <w:szCs w:val="24"/>
          <w:u w:val="none" w:color="000009"/>
        </w:rPr>
      </w:pPr>
      <w:r>
        <w:rPr>
          <w:color w:val="auto"/>
        </w:rPr>
        <w:t xml:space="preserve">– </w:t>
      </w:r>
      <w:r>
        <w:rPr>
          <w:color w:val="3465A4"/>
        </w:rPr>
        <w:t>Steganografia</w:t>
      </w:r>
      <w:r>
        <w:rPr>
          <w:color w:val="auto"/>
        </w:rPr>
        <w:t>: nasconde esistenza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>
        <w:caps/>
        <w:color w:val="4F81BD" w:themeColor="accent1"/>
      </w:rPr>
    </w:pPr>
    <w:r>
      <w:rPr>
        <w:caps/>
        <w:color w:val="4F81BD"/>
      </w:rPr>
      <w:fldChar w:fldCharType="begin"/>
    </w:r>
    <w:r>
      <w:rPr>
        <w:caps/>
        <w:color w:val="4F81BD"/>
      </w:rPr>
      <w:instrText> PAGE </w:instrText>
    </w:r>
    <w:r>
      <w:rPr>
        <w:caps/>
        <w:color w:val="4F81BD"/>
      </w:rPr>
      <w:fldChar w:fldCharType="separate"/>
    </w:r>
    <w:r>
      <w:rPr>
        <w:caps/>
        <w:color w:val="4F81BD"/>
      </w:rPr>
      <w:t>2</w:t>
    </w:r>
    <w:r>
      <w:rPr>
        <w:caps/>
        <w:color w:val="4F81BD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anormale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Intestazion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Intestazione"/>
            <w:bidi w:val="0"/>
            <w:jc w:val="center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Intestazion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Intestazione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89050e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2628ac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2628ac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905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50e"/>
    <w:pPr>
      <w:spacing w:before="0" w:after="200"/>
      <w:ind w:left="720" w:hanging="0"/>
      <w:contextualSpacing/>
    </w:pPr>
    <w:rPr/>
  </w:style>
  <w:style w:type="paragraph" w:styleId="Didefault" w:customStyle="1">
    <w:name w:val="Di default"/>
    <w:qFormat/>
    <w:rsid w:val="00612529"/>
    <w:pPr>
      <w:widowControl/>
      <w:suppressAutoHyphens w:val="true"/>
      <w:bidi w:val="0"/>
      <w:spacing w:lineRule="auto" w:line="240" w:before="0" w:after="0"/>
      <w:jc w:val="left"/>
    </w:pPr>
    <w:rPr>
      <w:rFonts w:ascii="Helvetica" w:hAnsi="Helvetica" w:eastAsia="Arial Unicode MS" w:cs="Arial Unicode MS"/>
      <w:color w:val="000000"/>
      <w:kern w:val="0"/>
      <w:sz w:val="22"/>
      <w:szCs w:val="22"/>
      <w:u w:val="none" w:color="000000"/>
      <w:lang w:val="it-IT" w:eastAsia="it-IT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628a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2628a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F9D938B794A438F42BECA3197C323" ma:contentTypeVersion="10" ma:contentTypeDescription="Create a new document." ma:contentTypeScope="" ma:versionID="bb93097fc2a6a7e92c0bd34d0f09d74c">
  <xsd:schema xmlns:xsd="http://www.w3.org/2001/XMLSchema" xmlns:xs="http://www.w3.org/2001/XMLSchema" xmlns:p="http://schemas.microsoft.com/office/2006/metadata/properties" xmlns:ns2="2b816db8-b960-4c30-9538-5977d02f33e5" xmlns:ns3="fb4ba361-bdc9-4d23-9e66-0bd8e5c2225e" targetNamespace="http://schemas.microsoft.com/office/2006/metadata/properties" ma:root="true" ma:fieldsID="ca691f94ff5b3fc539bfbafcd5e719d8" ns2:_="" ns3:_="">
    <xsd:import namespace="2b816db8-b960-4c30-9538-5977d02f33e5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16db8-b960-4c30-9538-5977d02f3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df0c706-a3aa-401c-9870-e3c0c4868530}" ma:internalName="TaxCatchAll" ma:showField="CatchAllData" ma:web="fb4ba361-bdc9-4d23-9e66-0bd8e5c222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4ba361-bdc9-4d23-9e66-0bd8e5c2225e" xsi:nil="true"/>
    <lcf76f155ced4ddcb4097134ff3c332f xmlns="2b816db8-b960-4c30-9538-5977d02f33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54A55B-6772-4380-B671-20EA2F06603F}"/>
</file>

<file path=customXml/itemProps2.xml><?xml version="1.0" encoding="utf-8"?>
<ds:datastoreItem xmlns:ds="http://schemas.openxmlformats.org/officeDocument/2006/customXml" ds:itemID="{1F8DFFB9-129C-4E16-9936-CFDEBFA90287}"/>
</file>

<file path=customXml/itemProps3.xml><?xml version="1.0" encoding="utf-8"?>
<ds:datastoreItem xmlns:ds="http://schemas.openxmlformats.org/officeDocument/2006/customXml" ds:itemID="{6715DCFD-8D69-4D05-A77D-A6EE691E6D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648</Words>
  <Characters>4334</Characters>
  <CharactersWithSpaces>4989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2022-02-16T18:11:00Z</dcterms:created>
  <dc:creator>SB</dc:creator>
  <dc:description/>
  <dc:language>it-IT</dc:language>
  <cp:lastModifiedBy/>
  <cp:lastPrinted>2022-06-16T07:33:32Z</cp:lastPrinted>
  <dcterms:modified xsi:type="dcterms:W3CDTF">2022-06-20T08:20:40Z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0x010100D93F9D938B794A438F42BECA3197C323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