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63916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Agenda Item G.3.b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720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Supplemental SSC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80224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September 2013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190917968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SCIENTIFIC AND STATISTICAL COMMITTEE REPORT 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APPROVE STOCK ASSESSMENTS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0.57451725006104" w:lineRule="auto"/>
        <w:ind w:left="1.439971923828125" w:right="0.9606933593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Scientific and Statistical Committee (SSC) reviewed the six assessments which were  reviewed at Stock Assessment Review (STAR) panels this summer, along with reports from  those STAR panels. In addition, the SSC discussed the Council’s request for further work on the  China, brown and copper rockfish data-moderate assessments.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45703125" w:line="240" w:lineRule="auto"/>
        <w:ind w:left="2.40005493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Aurora Rockfish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30.53278923034668" w:lineRule="auto"/>
        <w:ind w:left="0" w:right="2.039794921875" w:firstLine="4.3200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full assessment of aurora rockfish was conducted in 2013. The assessment estimates  that the spawning stock biomass of aurora rockfish at the start of 2013 was 1673 metric tons and  was depleted to 64% of its unfished level. There is little chance that the stock’s spawning  biomass has ever been below the Council’s target level (40% of unfished). Natural mortality was  used as the axis of uncertainty to bracket the states of nature in the decision table.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868896484375" w:line="230.57434558868408" w:lineRule="auto"/>
        <w:ind w:left="1.439971923828125" w:right="0"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SSC notes that the assessment results were very sensitive to the assumed value of natural  mortality, and unresolved areas of uncertainty included: 1) an unusual pattern in the estimated  recruitment deviations, and 2) unexpectedly strong dome-shaped survey selectivity, while fishery  selectivity was asymptotic.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4599609375" w:line="230.29675483703613" w:lineRule="auto"/>
        <w:ind w:left="1.439971923828125" w:right="1.1999511718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SSC endorses the use of the 2013 aurora rockfish assessment as the best scientific  information available for status determination and management in the Council process. The SSC  recommends that aurora rockfish should be treated as a category 1 stock because the assessment  is based on a fully developed age-structured model. The SSC recommends using the sigma value  of 0.39 for aurora rockfish, and that the next stock assessment should be a full stock assessment  to more fully explore model structure and data issues (e.g., the likely availability of more age  composition data).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34130859375" w:line="240" w:lineRule="auto"/>
        <w:ind w:left="6.47994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Rougheye and Blackspotted Rockfish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30.3078842163086" w:lineRule="auto"/>
        <w:ind w:left="4.320068359375" w:right="1.440429687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Rougheye rockfish and blackspotted rockfish are two closely related species of slope rockfish,  which have only recently been recognized as separate species. The assessment treats them as a  single complex of species (hereafter referred to as rougheye rockfish) because most data sets  available for stock assessment do not distinguish between them. This is the first full assessment  of rougheye rockfish. Overfishing limit (OFL) estimates for rougheye rockfish were previously  obtained using catch-only methods (depletion based stock reduction analysis (DB-SRA)).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120849609375" w:line="216.345477104187" w:lineRule="auto"/>
        <w:ind w:left="2.400054931640625" w:right="1.08032226562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Assessment results indicate that the west coast stock is currently at 47 percent of the unexploited  level, and therefore remains above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6.799999872843426"/>
          <w:szCs w:val="26.799999872843426"/>
          <w:u w:val="none"/>
          <w:shd w:fill="auto" w:val="clear"/>
          <w:vertAlign w:val="subscript"/>
          <w:rtl w:val="0"/>
        </w:rPr>
        <w:t xml:space="preserve">MSY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proxy of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r w:rsidDel="00000000" w:rsidR="00000000" w:rsidRPr="00000000">
        <w:rPr>
          <w:rFonts w:ascii="Times" w:cs="Times" w:eastAsia="Times" w:hAnsi="Times"/>
          <w:b w:val="0"/>
          <w:i w:val="1"/>
          <w:smallCaps w:val="0"/>
          <w:strike w:val="0"/>
          <w:color w:val="000000"/>
          <w:sz w:val="26.799999872843426"/>
          <w:szCs w:val="26.799999872843426"/>
          <w:u w:val="none"/>
          <w:shd w:fill="auto" w:val="clear"/>
          <w:vertAlign w:val="subscript"/>
          <w:rtl w:val="0"/>
        </w:rPr>
        <w:t xml:space="preserve">40%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Harvest rates of rougheye rockfish  have been close to or above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6.799999872843426"/>
          <w:szCs w:val="26.799999872843426"/>
          <w:u w:val="none"/>
          <w:shd w:fill="auto" w:val="clear"/>
          <w:vertAlign w:val="subscript"/>
          <w:rtl w:val="0"/>
        </w:rPr>
        <w:t xml:space="preserve">MSY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proxy of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6.799999872843426"/>
          <w:szCs w:val="26.799999872843426"/>
          <w:u w:val="none"/>
          <w:shd w:fill="auto" w:val="clear"/>
          <w:vertAlign w:val="subscript"/>
          <w:rtl w:val="0"/>
        </w:rPr>
        <w:t xml:space="preserve">40%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rockfish since the mid-1980s, including  four of the last 10 years, suggesting that harvest of rougheye rockfish needs to be more closely  monitored in the future.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2674560546875" w:line="229.90804195404053" w:lineRule="auto"/>
        <w:ind w:left="2.400054931640625" w:right="7.03857421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Major uncertainties in the rougheye rockfish assessment include possible differences in the life  histories and abundance trends of two species in the complex, uncertainty in natural mortality,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118347167969"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8569660186768" w:lineRule="auto"/>
        <w:ind w:left="4.080047607421875" w:right="0.72021484375" w:firstLine="5.03997802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sensitivity in model results to alternative methods of weighting composition data. Natural  mortality was used to bracket uncertainty in the states of nature in the decision table. The SSC  notes that a small error was found in the decision table and that the corrected version will be  included in the final document.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3369140625" w:line="230.19367218017578" w:lineRule="auto"/>
        <w:ind w:left="0.9600830078125" w:right="1.1999511718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SSC endorses the use of the 2013 rougheye rockfish assessment as the best scientific  information available for status determination and management in the Council process. The SSC  recommends that rougheye rockfish be treated as a category 1 stock because the assessment is  based on a fully developed age-structured model. The SSC recommends that the next  assessment be a full assessment, with the expectation that progress can be made in addressing  major assessment uncertainties, such as determining the biology and distribution of rougheye  rockfish and blackspotted rockfish individually, and increasing the amount of age data available  for the assessment.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705078125" w:line="240" w:lineRule="auto"/>
        <w:ind w:left="8.63998413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Shortspine Thornyhead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8701171875" w:line="209.93894577026367" w:lineRule="auto"/>
        <w:ind w:left="0.9600830078125" w:right="0.23925781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previous full assessment of shortspine thornyhead was conducted in 2005. The 2005  assessment estimated the stock to be above the management threshold of B</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bscript"/>
          <w:rtl w:val="0"/>
        </w:rPr>
        <w:t xml:space="preserve">40%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that  overfishing had never occurred. The new assessment estimates the stock depletion (B</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bscript"/>
          <w:rtl w:val="0"/>
        </w:rPr>
        <w:t xml:space="preserve">2013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be 74% with overfishing never having occurred. The equilibrium recruitment parameter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1"/>
          <w:smallCaps w:val="0"/>
          <w:strike w:val="0"/>
          <w:color w:val="000000"/>
          <w:sz w:val="26.799999872843426"/>
          <w:szCs w:val="26.79999987284342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was used to bracket uncertainty in the states of nature.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035888671875" w:line="230.57434558868408" w:lineRule="auto"/>
        <w:ind w:left="4.320068359375" w:right="0.72021484375" w:hanging="0.4798889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SSC notes that 1) important fishery data (historical catches and discards) and key population  vital rates (maturity, age and growth) are highly uncertain, 2) the surveys did not cover the entire  depth distributions of the species, 3) key parameters (e.g.,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are fixed, and 4) models are  sensitive to small changes in assumptions.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457763671875" w:line="229.9079704284668" w:lineRule="auto"/>
        <w:ind w:left="1.439971923828125" w:right="1.8005371093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SSC endorses the use of 2013 shortspine thornyhead assessment as the best scientific  information available for status determination and management in the Council process. The SSC  recommends that shortspine thornyhead be treated as a category 2 stock because of the lack of  age data and inability to discern year class strength. The SSC recommends exploring data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40" w:lineRule="auto"/>
        <w:ind w:left="4.0800476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 approaches before scheduling the next assessment.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40" w:lineRule="auto"/>
        <w:ind w:left="4.799957275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Longspine Thornyhead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09.93863105773926" w:lineRule="auto"/>
        <w:ind w:left="0.9600830078125" w:right="0.23925781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previous full assessment of longspine thornyhead was conducted in 2005. The 2005  assessment estimated the stock to be above the management threshold of B</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bscript"/>
          <w:rtl w:val="0"/>
        </w:rPr>
        <w:t xml:space="preserve">40%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that  overfishing had never occurred. The new assessment estimates the stock depletion (B</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bscript"/>
          <w:rtl w:val="0"/>
        </w:rPr>
        <w:t xml:space="preserve">2013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be 75% with overfishing never having occurred. The equilibrium recruitment parameter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1"/>
          <w:smallCaps w:val="0"/>
          <w:strike w:val="0"/>
          <w:color w:val="000000"/>
          <w:sz w:val="26.799999872843426"/>
          <w:szCs w:val="26.79999987284342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was used to bracket uncertainty in the states of nature.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0447998046875" w:line="230.5744171142578" w:lineRule="auto"/>
        <w:ind w:left="4.320068359375" w:right="0.479736328125" w:hanging="0.4798889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SSC notes that 1) important fishery data (historical catches and discards) and key population  vital rates (maturity, age and growth) are highly uncertain, 2) the surveys did not cover the entire  depth distributions of the species, 3) key parameters (e.g.,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are fixed, and 4) models are  sensitive to small changes in assumptions.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4559326171875" w:line="229.8858118057251" w:lineRule="auto"/>
        <w:ind w:left="1.439971923828125" w:right="3.3996582031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SSC endorses the use of 2013 longspine thornyhead assessment as the best scientific  information available for status determination and management in the Council process. The SSC  recommends that longspine thornyhead be treated as a category 2 stock because of the lack of  age data and inability to discern year class strength. The SSC recommends exploring data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990478515625" w:line="240" w:lineRule="auto"/>
        <w:ind w:left="4.0800476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 approaches before scheduling the next assessment.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Cowcod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1787109375" w:line="230.13025760650635" w:lineRule="auto"/>
        <w:ind w:left="0.9600830078125" w:right="0.479736328125" w:firstLine="2.15988159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Full assessments of cowcod south of Point Conception were conducted during 1999, 2005, and  2007, with the latter two assessments based on the Stock Synthesis framework. The 2009  assessment was an update to the 2007 assessment, which included revised historical recreational  catch data for California, along with updated indexes. The 2013 full assessment for cowcod was  based on Extended Depletion-Based Stock Reduction Analysis (XDB-SRA), unlike the earlier  assessments. The 2007 and 2009 assessments used Stock Synthesis but did not include age and  length data, so were similar to an XDB-SRA assessment. The 2013 assessment included data  from five indices, but excluded the commercial passenger fishing vessel (CPFV) index which  had been used in previous assessments. This index had suggested a more depleted stock and was  excluded because of difficulties identifying effort directed towards cowcod.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90234375" w:line="230.07439613342285" w:lineRule="auto"/>
        <w:ind w:left="2.400054931640625" w:right="0.72021484375" w:firstLine="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stock is estimated to be 34 percent of its unfished level at the start of 2013. However, the  estimate of depletion is highly uncertain (95% credibility interval from 15 to 66 percent of the  unfished level). All of the indices used in the assessment are sources of considerable  uncertainty, particularly due to the spatial distribution of survey effort, the age classes sampled,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3369140625" w:line="230.9078550338745" w:lineRule="auto"/>
        <w:ind w:left="3.3599853515625" w:right="0.960693359375" w:firstLine="5.760040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and/or the high unexplained variance between the model predictions and the data. However, all  indices are showing qualitatively similar increasing trends. The lack of survey information from the core area in which cowcod are located remains a key source of uncertainty.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115234375" w:line="230.10234832763672" w:lineRule="auto"/>
        <w:ind w:left="1.439971923828125" w:right="0.720214843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SSC endorses the use of the 2013 cowcod assessment as the best scientific information  available for status determination and management in the Council process. The SSC  recommends that cowcod be treated as a category 2 stock because the assessment is based on a  data-moderate method of stock assessment. A rebuilding analysis needs to be conducted for this  stock, which will be reviewed by the SSC Groundfish Subcommittee before the November  Council meeting. The SSC recommends that the next assessment of cowcod be a full  assessment, and ideally that the stock be assessed once an index of abundance from the remotely  operated vehicle (ROV) survey of cowcod habitat in the Southern California Bight becomes  available and has been reviewed. Finally, the SSC recommends that the decision not to conduct  extractive surveys in the Cowcod Conservation Areas (CCAs) should be re-evaluated given the  need for reliable indices of abundance for cowcod. The hook and line survey, in particular,  could be conducted within the CCAs with minimal mortality impacts through the use of  descending devices.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1781005859375" w:line="240" w:lineRule="auto"/>
        <w:ind w:left="4.080047607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Pacific Sanddab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31.90716743469238" w:lineRule="auto"/>
        <w:ind w:left="4.080047607421875" w:right="0.960693359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full assessment for Pacific sanddabs was conducted in 2013. Management advice for  Pacific sanddabs has previously been based on application of DB-SRA.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128662109375" w:line="230.23006439208984" w:lineRule="auto"/>
        <w:ind w:left="1.439971923828125" w:right="1.4392089843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base model from the 2013 stock assessment predicts that the spawning biomass was 96  percent of the unfished level at the start of 2013, well above the target biomass for flatfish stocks  of 25 percent. However, there are major inconsistencies between the estimates of biomass from  the triennial and NWFSC surveys and the estimates of biomass from the assessment, with the  assessment inferring that catchability for the surveys is substantially larger than 1 (&gt;19 for the  NWFSC survey), which the Stock Assessment Team (STAT) and STAR panel agreed was  implausible.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8992919921875" w:line="229.90792751312256" w:lineRule="auto"/>
        <w:ind w:left="4.799957275390625" w:right="0.24047851562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SSC recommends that this assessment not be used for deciding harvest specifications.  However, the information included in the assessment document is sufficient to conclude that the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20452880859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46513557434082" w:lineRule="auto"/>
        <w:ind w:left="1.439971923828125" w:right="1.79931640625" w:firstLine="11.040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stock is well above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bscript"/>
          <w:rtl w:val="0"/>
        </w:rPr>
        <w:t xml:space="preserve">MSY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proxy of 25 percent of the unfished level. Pacific sanddab should  remain as a category 3 stock and the OFL be based on DB-SRA. The SSC notes that Pacific  sanddab should not be a high priority for a future full assessment given the magnitude of the  catch relative to survey estimates of abundance. Pacific sanddab could be considered for data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533203125" w:line="240" w:lineRule="auto"/>
        <w:ind w:left="4.0800476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 assessment the next time it is assessed.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6.47994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Reconsideration of data-moderate assessments for nearshore rockfish species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30.32437801361084" w:lineRule="auto"/>
        <w:ind w:left="3.3599853515625" w:right="0.2404785156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SSC met with the Groundfish Management Team (GMT) to discuss the Council’s request  that the data-moderate assessments for three nearshore species be re-considered at a mop-up  STAR Panel meeting prior to the November Council meeting (Council’s June Decision  Summary Document). Specifically the Council requested consideration of area stratification  north and south of 42º N latitude for the data-moderate stock assessments for brown rockfish,  copper rockfish, and China rockfish. Dr. E.J. Dick (SWFSC, Data-Moderate STAT member)  and John DeVore were available to answer questions and contribute to the discussions.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96142578125" w:line="240" w:lineRule="auto"/>
        <w:ind w:left="4.3200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Brown rockfish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30.24115085601807" w:lineRule="auto"/>
        <w:ind w:left="0.9600830078125" w:right="0.720214843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SSC notes that the data-moderate STAR Panel explored XDB-SRA assessment models for  brown rockfish in the southern and central regions (split at Point Conception) but reverted to a  combined region model because conflicting trends in the catch per unit effort (CPUE) indices  produced implausible results. No model was attempted for the portion of the population north of  Cape Mendocino (40º10’ N latitude) because no CPUE index could be derived. Only about 1%  of the coastwide landings of brown rockfish are taken north of Cape Mendocino. It is not  feasible to conduct an XDB-SRA assessment for brown rockfish north of 42º N latitude.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79150390625" w:line="240" w:lineRule="auto"/>
        <w:ind w:left="6.95999145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Copper rockfish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30.57434558868408" w:lineRule="auto"/>
        <w:ind w:left="4.080047607421875" w:right="3.23974609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lack of survey or CPUE data for copper rockfish also restricts the ability to apply data moderate assessment methods for copper rockfish north of 42º N latitude. The region north of  Cape Mendocino accounts for only about 4% of the landings of copper rockfish. It is not  feasible to conduct an XDB-SRA assessment for copper rockfish north of 42º N latitude.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458984375" w:line="240" w:lineRule="auto"/>
        <w:ind w:left="6.95999145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China rockfish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30.1352071762085" w:lineRule="auto"/>
        <w:ind w:left="1.439971923828125" w:right="1.199951171875" w:firstLine="5.520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China rockfish is the only of these three nearshore species for which an appreciable proportion of  the landed catch is taken north of 42º N latitude. Further, a CPUE abundance index was  developed for the XDB-SRA assessment for the portion of the population north of Cape  Mendocino at 40º10’ N latitude. However, developing a CPUE index that corresponds only to  the region north of 42º N latitude is not feasible to accomplish in the near-term. The SSC  recommends 1) that an XDB-SRA assessment for the portion of the population north of 42º N  latitude be conducted using the existing northern CPUE abundance index, applied to catch data  series restricted to north of 42º N latitude and 2) that a separate XDB-SRA assessment for the  portion of the population south of 42º N latitude be conducted using the existing southern CPUE  abundance index, applied to catch data series restricted to south of 42º N latitude. The SSC’s  expectation is that the net result of these new assessments will be to move some of the biomass  from the northern portion to the southern portion of the population.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0478515625" w:line="230.90755462646484" w:lineRule="auto"/>
        <w:ind w:left="2.1600341796875" w:right="2.0397949218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SSC notes that results from a set of assessments structured with a north-south boundary at  42º N latitude will require further analysis to develop OFL values corresponding to the  management boundary at 40º10’ N latitude.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242980957031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Update of Oregon recreational catch data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18896484375" w:line="230.10802745819092" w:lineRule="auto"/>
        <w:ind w:left="1.439971923828125" w:right="0.23925781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recreational catch data series used in the assessments reviewed by the Data-Moderate STAR  Panel were taken directly from the Recreational Fisheries Information Network (RecFIN)  database. The Oregon data in RecFIN prior to 1993 were based on catch rates (fish per angler day) obtained from angler interviews conducted by the Marine Recreational Fisheries Statistics  Survey (MRFSS) and then expanded by MRFSS estimates of angler-days derived from telephone  interviews. The Oregon Recreational Boat Survey (ORBS) provides more accurate estimates of  recreational landings of groundfish species. The SSC recommends that the additional XDB-SRA  analyses of the China rockfish (described above) be conducted using the historic (pre-1993)  estimates of China rockfish landings from the ORBS program rather than the MRFSS estimates.  Also, the current XDB-SRA assessment for China rockfish North of Cape Mendocino should be  redone using the revised Oregon landings data.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1572265625" w:line="230.57451725006104" w:lineRule="auto"/>
        <w:ind w:left="0.9600830078125" w:right="0.2404785156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SSC anticipates that revisions to the Oregon catch series for copper and brown rockfish will  be so small as to have inconsequential effects on the existing XDB-SRA coastwide assessment  for brown rockfish and the existing XDB-SRA assessment for copper rockfish north of Point  Conception. The SSC will confirm this at its November meeting.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452880859375" w:line="240" w:lineRule="auto"/>
        <w:ind w:left="10.31997680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Summary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30.29675483703613" w:lineRule="auto"/>
        <w:ind w:left="0.9600830078125" w:right="1.3195800781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process for revising the data-moderate assessment for China rockfish will result in three new  assessments: 1) for the population north of 40º10’ N latitude; 2) for the population north of 42º N  latitude; and 3) for the population south of 42º N latitude, the first two of which will be affected  by the revised Oregon catch data series. The existing assessment for the population south of  40º10’ N latitude is unaffected by the revised Oregon catch data (and does not involve a  boundary change). The SSC will review the results of these assessments and provide  recommendations to the Council regarding China rockfish at the November meeting.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343383789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sectPr>
      <w:pgSz w:h="15840" w:w="12240" w:orient="portrait"/>
      <w:pgMar w:bottom="780.4800415039062" w:top="695.999755859375" w:left="1440.2398681640625" w:right="1377.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