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Calibri" w:hAnsi="Calibri"/>
          <w:b/>
          <w:i w:val="0"/>
          <w:caps/>
          <w:color w:val="C7672C"/>
          <w:sz w:val="22"/>
          <w:spacing w:val="40"/>
        </w:rPr>
        <w:t>ORAL DEFENSE · SPEAKING NOTES</w:t>
      </w:r>
    </w:p>
    <w:p>
      <w:pPr>
        <w:spacing w:before="0" w:after="40" w:line="269" w:lineRule="auto"/>
      </w:pPr>
      <w:r>
        <w:rPr>
          <w:rFonts w:ascii="Cambria" w:hAnsi="Cambria"/>
          <w:b/>
          <w:i w:val="0"/>
          <w:color w:val="1C3460"/>
          <w:sz w:val="42"/>
        </w:rPr>
        <w:t>Statistical Evaluation of Refusal-Direction Ablation in Gemma</w:t>
      </w:r>
    </w:p>
    <w:p>
      <w:pPr>
        <w:spacing w:before="0" w:after="200" w:line="269" w:lineRule="auto"/>
      </w:pPr>
      <w:r>
        <w:rPr>
          <w:rFonts w:ascii="Calibri" w:hAnsi="Calibri"/>
          <w:b w:val="0"/>
          <w:i w:val="0"/>
          <w:color w:val="6A7890"/>
          <w:sz w:val="21"/>
        </w:rPr>
        <w:t>02445 Project Report · Technical University of Denmark · Target length ≈ 8 minutes (~7:50, leaving buffer)</w:t>
      </w:r>
    </w:p>
    <w:p>
      <w:pPr>
        <w:spacing w:before="0" w:after="80" w:line="269" w:lineRule="auto"/>
      </w:pPr>
      <w:r>
        <w:rPr>
          <w:rFonts w:ascii="Calibri" w:hAnsi="Calibri"/>
          <w:b w:val="0"/>
          <w:i/>
          <w:color w:val="6A7890"/>
          <w:sz w:val="21"/>
        </w:rPr>
        <w:t>The orange pill in the top-right corner of each slide names the active speaker. Hand-offs are marked in the “Transition” line. Times are guides, not scripts — aim slightly under so questions fit in eight minutes.</w:t>
      </w:r>
    </w:p>
    <w:p>
      <w:pPr>
        <w:spacing w:before="120" w:after="80" w:line="269" w:lineRule="auto"/>
      </w:pPr>
      <w:r>
        <w:rPr>
          <w:rFonts w:ascii="Cambria" w:hAnsi="Cambria"/>
          <w:b/>
          <w:i w:val="0"/>
          <w:color w:val="1C3460"/>
          <w:sz w:val="28"/>
        </w:rPr>
        <w:t>Speaker blocks</w:t>
      </w:r>
    </w:p>
    <w:tbl>
      <w:tblPr>
        <w:tblW w:type="auto" w:w="0"/>
        <w:jc w:val="left"/>
        <w:tblLayout w:type="autofit"/>
        <w:tblLook w:firstColumn="1" w:firstRow="1" w:lastColumn="0" w:lastRow="0" w:noHBand="0" w:noVBand="1" w:val="04A0"/>
      </w:tblPr>
      <w:tblGrid>
        <w:gridCol w:w="2412"/>
        <w:gridCol w:w="2412"/>
        <w:gridCol w:w="2412"/>
        <w:gridCol w:w="2412"/>
      </w:tblGrid>
      <w:tr>
        <w:tc>
          <w:tcPr>
            <w:tcW w:type="dxa" w:w="1872"/>
            <w:shd w:val="clear" w:color="auto" w:fill="1C3460"/>
          </w:tcPr>
          <w:p>
            <w:pPr>
              <w:spacing w:after="40" w:before="40"/>
            </w:pPr>
            <w:r>
              <w:rPr>
                <w:rFonts w:ascii="Calibri" w:hAnsi="Calibri"/>
                <w:b/>
                <w:i w:val="0"/>
                <w:color w:val="FFFFFF"/>
                <w:sz w:val="21"/>
              </w:rPr>
              <w:t>Speaker</w:t>
            </w:r>
          </w:p>
        </w:tc>
        <w:tc>
          <w:tcPr>
            <w:tcW w:type="dxa" w:w="1152"/>
            <w:shd w:val="clear" w:color="auto" w:fill="1C3460"/>
          </w:tcPr>
          <w:p>
            <w:pPr>
              <w:spacing w:after="40" w:before="40"/>
            </w:pPr>
            <w:r>
              <w:rPr>
                <w:rFonts w:ascii="Calibri" w:hAnsi="Calibri"/>
                <w:b/>
                <w:i w:val="0"/>
                <w:color w:val="FFFFFF"/>
                <w:sz w:val="21"/>
              </w:rPr>
              <w:t>Slides</w:t>
            </w:r>
          </w:p>
        </w:tc>
        <w:tc>
          <w:tcPr>
            <w:tcW w:type="dxa" w:w="5184"/>
            <w:shd w:val="clear" w:color="auto" w:fill="1C3460"/>
          </w:tcPr>
          <w:p>
            <w:pPr>
              <w:spacing w:after="40" w:before="40"/>
            </w:pPr>
            <w:r>
              <w:rPr>
                <w:rFonts w:ascii="Calibri" w:hAnsi="Calibri"/>
                <w:b/>
                <w:i w:val="0"/>
                <w:color w:val="FFFFFF"/>
                <w:sz w:val="21"/>
              </w:rPr>
              <w:t>Topic</w:t>
            </w:r>
          </w:p>
        </w:tc>
        <w:tc>
          <w:tcPr>
            <w:tcW w:type="dxa" w:w="1296"/>
            <w:shd w:val="clear" w:color="auto" w:fill="1C3460"/>
          </w:tcPr>
          <w:p>
            <w:pPr>
              <w:spacing w:after="40" w:before="40"/>
            </w:pPr>
            <w:r>
              <w:rPr>
                <w:rFonts w:ascii="Calibri" w:hAnsi="Calibri"/>
                <w:b/>
                <w:i w:val="0"/>
                <w:color w:val="FFFFFF"/>
                <w:sz w:val="21"/>
              </w:rPr>
              <w:t>Time</w:t>
            </w:r>
          </w:p>
        </w:tc>
      </w:tr>
      <w:tr>
        <w:tc>
          <w:tcPr>
            <w:tcW w:type="dxa" w:w="1872"/>
            <w:shd w:val="clear" w:color="auto" w:fill="F2F6FC"/>
          </w:tcPr>
          <w:p>
            <w:pPr>
              <w:spacing w:after="40" w:before="40"/>
            </w:pPr>
            <w:r>
              <w:rPr>
                <w:rFonts w:ascii="Calibri" w:hAnsi="Calibri"/>
                <w:b/>
                <w:i w:val="0"/>
                <w:color w:val="29457F"/>
                <w:sz w:val="21"/>
              </w:rPr>
              <w:t>Oskar</w:t>
            </w:r>
          </w:p>
        </w:tc>
        <w:tc>
          <w:tcPr>
            <w:tcW w:type="dxa" w:w="1152"/>
            <w:shd w:val="clear" w:color="auto" w:fill="F2F6FC"/>
          </w:tcPr>
          <w:p>
            <w:pPr>
              <w:spacing w:after="40" w:before="40"/>
            </w:pPr>
            <w:r>
              <w:rPr>
                <w:rFonts w:ascii="Calibri" w:hAnsi="Calibri"/>
                <w:b w:val="0"/>
                <w:i w:val="0"/>
                <w:color w:val="1B2A45"/>
                <w:sz w:val="21"/>
              </w:rPr>
              <w:t>1–3</w:t>
            </w:r>
          </w:p>
        </w:tc>
        <w:tc>
          <w:tcPr>
            <w:tcW w:type="dxa" w:w="5184"/>
            <w:shd w:val="clear" w:color="auto" w:fill="F2F6FC"/>
          </w:tcPr>
          <w:p>
            <w:pPr>
              <w:spacing w:after="40" w:before="40"/>
            </w:pPr>
            <w:r>
              <w:rPr>
                <w:rFonts w:ascii="Calibri" w:hAnsi="Calibri"/>
                <w:b w:val="0"/>
                <w:i w:val="0"/>
                <w:color w:val="1B2A45"/>
                <w:sz w:val="21"/>
              </w:rPr>
              <w:t>Framing — motivation &amp; research question</w:t>
            </w:r>
          </w:p>
        </w:tc>
        <w:tc>
          <w:tcPr>
            <w:tcW w:type="dxa" w:w="1296"/>
            <w:shd w:val="clear" w:color="auto" w:fill="F2F6FC"/>
          </w:tcPr>
          <w:p>
            <w:pPr>
              <w:spacing w:after="40" w:before="40"/>
            </w:pPr>
            <w:r>
              <w:rPr>
                <w:rFonts w:ascii="Calibri" w:hAnsi="Calibri"/>
                <w:b/>
                <w:i w:val="0"/>
                <w:color w:val="6A7890"/>
                <w:sz w:val="21"/>
              </w:rPr>
              <w:t>≈ 2:00</w:t>
            </w:r>
          </w:p>
        </w:tc>
      </w:tr>
      <w:tr>
        <w:tc>
          <w:tcPr>
            <w:tcW w:type="dxa" w:w="1872"/>
          </w:tcPr>
          <w:p>
            <w:pPr>
              <w:spacing w:after="40" w:before="40"/>
            </w:pPr>
            <w:r>
              <w:rPr>
                <w:rFonts w:ascii="Calibri" w:hAnsi="Calibri"/>
                <w:b/>
                <w:i w:val="0"/>
                <w:color w:val="29457F"/>
                <w:sz w:val="21"/>
              </w:rPr>
              <w:t>Matthes</w:t>
            </w:r>
          </w:p>
        </w:tc>
        <w:tc>
          <w:tcPr>
            <w:tcW w:type="dxa" w:w="1152"/>
          </w:tcPr>
          <w:p>
            <w:pPr>
              <w:spacing w:after="40" w:before="40"/>
            </w:pPr>
            <w:r>
              <w:rPr>
                <w:rFonts w:ascii="Calibri" w:hAnsi="Calibri"/>
                <w:b w:val="0"/>
                <w:i w:val="0"/>
                <w:color w:val="1B2A45"/>
                <w:sz w:val="21"/>
              </w:rPr>
              <w:t>4–6</w:t>
            </w:r>
          </w:p>
        </w:tc>
        <w:tc>
          <w:tcPr>
            <w:tcW w:type="dxa" w:w="5184"/>
          </w:tcPr>
          <w:p>
            <w:pPr>
              <w:spacing w:after="40" w:before="40"/>
            </w:pPr>
            <w:r>
              <w:rPr>
                <w:rFonts w:ascii="Calibri" w:hAnsi="Calibri"/>
                <w:b w:val="0"/>
                <w:i w:val="0"/>
                <w:color w:val="1B2A45"/>
                <w:sz w:val="21"/>
              </w:rPr>
              <w:t>Methods — data, the weight edit, stability</w:t>
            </w:r>
          </w:p>
        </w:tc>
        <w:tc>
          <w:tcPr>
            <w:tcW w:type="dxa" w:w="1296"/>
          </w:tcPr>
          <w:p>
            <w:pPr>
              <w:spacing w:after="40" w:before="40"/>
            </w:pPr>
            <w:r>
              <w:rPr>
                <w:rFonts w:ascii="Calibri" w:hAnsi="Calibri"/>
                <w:b/>
                <w:i w:val="0"/>
                <w:color w:val="6A7890"/>
                <w:sz w:val="21"/>
              </w:rPr>
              <w:t>≈ 2:05</w:t>
            </w:r>
          </w:p>
        </w:tc>
      </w:tr>
      <w:tr>
        <w:tc>
          <w:tcPr>
            <w:tcW w:type="dxa" w:w="1872"/>
            <w:shd w:val="clear" w:color="auto" w:fill="F2F6FC"/>
          </w:tcPr>
          <w:p>
            <w:pPr>
              <w:spacing w:after="40" w:before="40"/>
            </w:pPr>
            <w:r>
              <w:rPr>
                <w:rFonts w:ascii="Calibri" w:hAnsi="Calibri"/>
                <w:b/>
                <w:i w:val="0"/>
                <w:color w:val="29457F"/>
                <w:sz w:val="21"/>
              </w:rPr>
              <w:t>Carl Johan</w:t>
            </w:r>
          </w:p>
        </w:tc>
        <w:tc>
          <w:tcPr>
            <w:tcW w:type="dxa" w:w="1152"/>
            <w:shd w:val="clear" w:color="auto" w:fill="F2F6FC"/>
          </w:tcPr>
          <w:p>
            <w:pPr>
              <w:spacing w:after="40" w:before="40"/>
            </w:pPr>
            <w:r>
              <w:rPr>
                <w:rFonts w:ascii="Calibri" w:hAnsi="Calibri"/>
                <w:b w:val="0"/>
                <w:i w:val="0"/>
                <w:color w:val="1B2A45"/>
                <w:sz w:val="21"/>
              </w:rPr>
              <w:t>7–8</w:t>
            </w:r>
          </w:p>
        </w:tc>
        <w:tc>
          <w:tcPr>
            <w:tcW w:type="dxa" w:w="5184"/>
            <w:shd w:val="clear" w:color="auto" w:fill="F2F6FC"/>
          </w:tcPr>
          <w:p>
            <w:pPr>
              <w:spacing w:after="40" w:before="40"/>
            </w:pPr>
            <w:r>
              <w:rPr>
                <w:rFonts w:ascii="Calibri" w:hAnsi="Calibri"/>
                <w:b w:val="0"/>
                <w:i w:val="0"/>
                <w:color w:val="1B2A45"/>
                <w:sz w:val="21"/>
              </w:rPr>
              <w:t>Statistics &amp; the headline result</w:t>
            </w:r>
          </w:p>
        </w:tc>
        <w:tc>
          <w:tcPr>
            <w:tcW w:type="dxa" w:w="1296"/>
            <w:shd w:val="clear" w:color="auto" w:fill="F2F6FC"/>
          </w:tcPr>
          <w:p>
            <w:pPr>
              <w:spacing w:after="40" w:before="40"/>
            </w:pPr>
            <w:r>
              <w:rPr>
                <w:rFonts w:ascii="Calibri" w:hAnsi="Calibri"/>
                <w:b/>
                <w:i w:val="0"/>
                <w:color w:val="6A7890"/>
                <w:sz w:val="21"/>
              </w:rPr>
              <w:t>≈ 1:35</w:t>
            </w:r>
          </w:p>
        </w:tc>
      </w:tr>
      <w:tr>
        <w:tc>
          <w:tcPr>
            <w:tcW w:type="dxa" w:w="1872"/>
          </w:tcPr>
          <w:p>
            <w:pPr>
              <w:spacing w:after="40" w:before="40"/>
            </w:pPr>
            <w:r>
              <w:rPr>
                <w:rFonts w:ascii="Calibri" w:hAnsi="Calibri"/>
                <w:b/>
                <w:i w:val="0"/>
                <w:color w:val="29457F"/>
                <w:sz w:val="21"/>
              </w:rPr>
              <w:t>Oliver</w:t>
            </w:r>
          </w:p>
        </w:tc>
        <w:tc>
          <w:tcPr>
            <w:tcW w:type="dxa" w:w="1152"/>
          </w:tcPr>
          <w:p>
            <w:pPr>
              <w:spacing w:after="40" w:before="40"/>
            </w:pPr>
            <w:r>
              <w:rPr>
                <w:rFonts w:ascii="Calibri" w:hAnsi="Calibri"/>
                <w:b w:val="0"/>
                <w:i w:val="0"/>
                <w:color w:val="1B2A45"/>
                <w:sz w:val="21"/>
              </w:rPr>
              <w:t>9–10</w:t>
            </w:r>
          </w:p>
        </w:tc>
        <w:tc>
          <w:tcPr>
            <w:tcW w:type="dxa" w:w="5184"/>
          </w:tcPr>
          <w:p>
            <w:pPr>
              <w:spacing w:after="40" w:before="40"/>
            </w:pPr>
            <w:r>
              <w:rPr>
                <w:rFonts w:ascii="Calibri" w:hAnsi="Calibri"/>
                <w:b w:val="0"/>
                <w:i w:val="0"/>
                <w:color w:val="1B2A45"/>
                <w:sz w:val="21"/>
              </w:rPr>
              <w:t>Paired flips &amp; category error analysis</w:t>
            </w:r>
          </w:p>
        </w:tc>
        <w:tc>
          <w:tcPr>
            <w:tcW w:type="dxa" w:w="1296"/>
          </w:tcPr>
          <w:p>
            <w:pPr>
              <w:spacing w:after="40" w:before="40"/>
            </w:pPr>
            <w:r>
              <w:rPr>
                <w:rFonts w:ascii="Calibri" w:hAnsi="Calibri"/>
                <w:b/>
                <w:i w:val="0"/>
                <w:color w:val="6A7890"/>
                <w:sz w:val="21"/>
              </w:rPr>
              <w:t>≈ 1:30</w:t>
            </w:r>
          </w:p>
        </w:tc>
      </w:tr>
      <w:tr>
        <w:tc>
          <w:tcPr>
            <w:tcW w:type="dxa" w:w="1872"/>
            <w:shd w:val="clear" w:color="auto" w:fill="F2F6FC"/>
          </w:tcPr>
          <w:p>
            <w:pPr>
              <w:spacing w:after="40" w:before="40"/>
            </w:pPr>
            <w:r>
              <w:rPr>
                <w:rFonts w:ascii="Calibri" w:hAnsi="Calibri"/>
                <w:b/>
                <w:i w:val="0"/>
                <w:color w:val="29457F"/>
                <w:sz w:val="21"/>
              </w:rPr>
              <w:t>Oskar</w:t>
            </w:r>
          </w:p>
        </w:tc>
        <w:tc>
          <w:tcPr>
            <w:tcW w:type="dxa" w:w="1152"/>
            <w:shd w:val="clear" w:color="auto" w:fill="F2F6FC"/>
          </w:tcPr>
          <w:p>
            <w:pPr>
              <w:spacing w:after="40" w:before="40"/>
            </w:pPr>
            <w:r>
              <w:rPr>
                <w:rFonts w:ascii="Calibri" w:hAnsi="Calibri"/>
                <w:b w:val="0"/>
                <w:i w:val="0"/>
                <w:color w:val="1B2A45"/>
                <w:sz w:val="21"/>
              </w:rPr>
              <w:t>11</w:t>
            </w:r>
          </w:p>
        </w:tc>
        <w:tc>
          <w:tcPr>
            <w:tcW w:type="dxa" w:w="5184"/>
            <w:shd w:val="clear" w:color="auto" w:fill="F2F6FC"/>
          </w:tcPr>
          <w:p>
            <w:pPr>
              <w:spacing w:after="40" w:before="40"/>
            </w:pPr>
            <w:r>
              <w:rPr>
                <w:rFonts w:ascii="Calibri" w:hAnsi="Calibri"/>
                <w:b w:val="0"/>
                <w:i w:val="0"/>
                <w:color w:val="1B2A45"/>
                <w:sz w:val="21"/>
              </w:rPr>
              <w:t>Conclusion &amp; implications</w:t>
            </w:r>
          </w:p>
        </w:tc>
        <w:tc>
          <w:tcPr>
            <w:tcW w:type="dxa" w:w="1296"/>
            <w:shd w:val="clear" w:color="auto" w:fill="F2F6FC"/>
          </w:tcPr>
          <w:p>
            <w:pPr>
              <w:spacing w:after="40" w:before="40"/>
            </w:pPr>
            <w:r>
              <w:rPr>
                <w:rFonts w:ascii="Calibri" w:hAnsi="Calibri"/>
                <w:b/>
                <w:i w:val="0"/>
                <w:color w:val="6A7890"/>
                <w:sz w:val="21"/>
              </w:rPr>
              <w:t>≈ 0:40</w:t>
            </w:r>
          </w:p>
        </w:tc>
      </w:tr>
    </w:tbl>
    <w:p>
      <w:pPr>
        <w:spacing w:before="280" w:after="160" w:line="269" w:lineRule="auto"/>
      </w:pPr>
      <w:r>
        <w:rPr>
          <w:rFonts w:ascii="Cambria" w:hAnsi="Cambria"/>
          <w:b/>
          <w:i w:val="0"/>
          <w:color w:val="1C3460"/>
          <w:sz w:val="28"/>
        </w:rPr>
        <w:t>Slide-by-slide script</w:t>
      </w:r>
    </w:p>
    <w:p>
      <w:pPr>
        <w:spacing w:before="200" w:after="20" w:line="269" w:lineRule="auto"/>
      </w:pPr>
      <w:r>
        <w:rPr>
          <w:rFonts w:ascii="Cambria" w:hAnsi="Cambria"/>
          <w:b/>
          <w:i w:val="0"/>
          <w:color w:val="1C3460"/>
          <w:sz w:val="26"/>
        </w:rPr>
        <w:t>Slide 1</w:t>
      </w:r>
      <w:r>
        <w:rPr>
          <w:rFonts w:ascii="Cambria" w:hAnsi="Cambria"/>
          <w:b w:val="0"/>
          <w:i w:val="0"/>
          <w:color w:val="1B2A45"/>
          <w:sz w:val="26"/>
        </w:rPr>
        <w:t xml:space="preserve">   ·   Title</w:t>
      </w:r>
    </w:p>
    <w:p>
      <w:pPr>
        <w:spacing w:before="0" w:after="80" w:line="269" w:lineRule="auto"/>
      </w:pPr>
      <w:r>
        <w:rPr>
          <w:rFonts w:ascii="Calibri" w:hAnsi="Calibri"/>
          <w:b/>
          <w:i w:val="0"/>
          <w:color w:val="C7672C"/>
          <w:sz w:val="20"/>
          <w:spacing w:val="24"/>
        </w:rPr>
        <w:t>OSKAR</w:t>
      </w:r>
      <w:r>
        <w:rPr>
          <w:rFonts w:ascii="Calibri" w:hAnsi="Calibri"/>
          <w:b w:val="0"/>
          <w:i w:val="0"/>
          <w:color w:val="6A7890"/>
          <w:sz w:val="20"/>
        </w:rPr>
        <w:t xml:space="preserve">   ·   0:20   ·   </w:t>
      </w:r>
      <w:r>
        <w:rPr>
          <w:rFonts w:ascii="Calibri" w:hAnsi="Calibri"/>
          <w:b w:val="0"/>
          <w:i/>
          <w:color w:val="6A7890"/>
          <w:sz w:val="20"/>
        </w:rPr>
        <w:t>Cue: Open; the headline number is the whole talk.</w:t>
      </w:r>
    </w:p>
    <w:p>
      <w:pPr>
        <w:spacing w:before="0" w:after="80" w:line="283" w:lineRule="auto"/>
      </w:pPr>
      <w:r>
        <w:rPr>
          <w:rFonts w:ascii="Calibri" w:hAnsi="Calibri"/>
          <w:b w:val="0"/>
          <w:i w:val="0"/>
          <w:color w:val="1B2A45"/>
          <w:sz w:val="22"/>
        </w:rPr>
        <w:t>Good morning. We're presenting our 02445 project — a statistical evaluation of refusal-direction ablation in Gemma. The one-line version is the number on the left: a single weight edit takes the model's unsafe-compliance rate on the official SORRY-Bench from about twenty-one percent up to seventy-seven percent. Let me set up why that matters.</w:t>
      </w:r>
    </w:p>
    <w:p>
      <w:pPr>
        <w:spacing w:before="0" w:after="40" w:line="269" w:lineRule="auto"/>
      </w:pPr>
      <w:r>
        <w:rPr>
          <w:rFonts w:ascii="Calibri" w:hAnsi="Calibri"/>
          <w:b/>
          <w:i w:val="0"/>
          <w:color w:val="29457F"/>
          <w:sz w:val="20"/>
        </w:rPr>
        <w:t xml:space="preserve">→ Transition:  </w:t>
      </w:r>
      <w:r>
        <w:rPr>
          <w:rFonts w:ascii="Calibri" w:hAnsi="Calibri"/>
          <w:b w:val="0"/>
          <w:i/>
          <w:color w:val="6A7890"/>
          <w:sz w:val="20"/>
        </w:rPr>
        <w:t>Stay on; continue to motivation.</w:t>
      </w:r>
    </w:p>
    <w:p>
      <w:pPr>
        <w:spacing w:before="200" w:after="20" w:line="269" w:lineRule="auto"/>
      </w:pPr>
      <w:r>
        <w:rPr>
          <w:rFonts w:ascii="Cambria" w:hAnsi="Cambria"/>
          <w:b/>
          <w:i w:val="0"/>
          <w:color w:val="1C3460"/>
          <w:sz w:val="26"/>
        </w:rPr>
        <w:t>Slide 2</w:t>
      </w:r>
      <w:r>
        <w:rPr>
          <w:rFonts w:ascii="Cambria" w:hAnsi="Cambria"/>
          <w:b w:val="0"/>
          <w:i w:val="0"/>
          <w:color w:val="1B2A45"/>
          <w:sz w:val="26"/>
        </w:rPr>
        <w:t xml:space="preserve">   ·   Motivation — refusal is a mechanism you can edit</w:t>
      </w:r>
    </w:p>
    <w:p>
      <w:pPr>
        <w:spacing w:before="0" w:after="80" w:line="269" w:lineRule="auto"/>
      </w:pPr>
      <w:r>
        <w:rPr>
          <w:rFonts w:ascii="Calibri" w:hAnsi="Calibri"/>
          <w:b/>
          <w:i w:val="0"/>
          <w:color w:val="C7672C"/>
          <w:sz w:val="20"/>
          <w:spacing w:val="24"/>
        </w:rPr>
        <w:t>OSKAR</w:t>
      </w:r>
      <w:r>
        <w:rPr>
          <w:rFonts w:ascii="Calibri" w:hAnsi="Calibri"/>
          <w:b w:val="0"/>
          <w:i w:val="0"/>
          <w:color w:val="6A7890"/>
          <w:sz w:val="20"/>
        </w:rPr>
        <w:t xml:space="preserve">   ·   0:50   ·   </w:t>
      </w:r>
      <w:r>
        <w:rPr>
          <w:rFonts w:ascii="Calibri" w:hAnsi="Calibri"/>
          <w:b w:val="0"/>
          <w:i/>
          <w:color w:val="6A7890"/>
          <w:sz w:val="20"/>
        </w:rPr>
        <w:t>Cue: Three beats: expected behaviour → open weights → one direction.</w:t>
      </w:r>
    </w:p>
    <w:p>
      <w:pPr>
        <w:spacing w:before="0" w:after="80" w:line="283" w:lineRule="auto"/>
      </w:pPr>
      <w:r>
        <w:rPr>
          <w:rFonts w:ascii="Calibri" w:hAnsi="Calibri"/>
          <w:b w:val="0"/>
          <w:i w:val="0"/>
          <w:color w:val="1B2A45"/>
          <w:sz w:val="22"/>
        </w:rPr>
        <w:t>Instruction-tuned models are expected to refuse harmful requests while staying useful on everything else. For closed models the only levers are the prompt and the decoding — but for open-weight models the weights themselves are an attack surface, and you can intervene directly. Prior work makes this concrete: Arditi and colleagues showed in 2024 that refusal is largely mediated by a single direction in activation space, and the open-source community operationalised that as “abliteration” — fitting that direction and erasing it. So the concern is simple: a model can post a high score on a fixed refusal benchmark while leaning on a mechanism a cheap, post-hoc edit can switch off. Our question is how much of the score actually depends on that one mechanism.</w:t>
      </w:r>
    </w:p>
    <w:p>
      <w:pPr>
        <w:spacing w:before="0" w:after="40" w:line="269" w:lineRule="auto"/>
      </w:pPr>
      <w:r>
        <w:rPr>
          <w:rFonts w:ascii="Calibri" w:hAnsi="Calibri"/>
          <w:b/>
          <w:i w:val="0"/>
          <w:color w:val="29457F"/>
          <w:sz w:val="20"/>
        </w:rPr>
        <w:t xml:space="preserve">→ Transition:  </w:t>
      </w:r>
      <w:r>
        <w:rPr>
          <w:rFonts w:ascii="Calibri" w:hAnsi="Calibri"/>
          <w:b w:val="0"/>
          <w:i/>
          <w:color w:val="6A7890"/>
          <w:sz w:val="20"/>
        </w:rPr>
        <w:t>Stay on; pose the formal question.</w:t>
      </w:r>
    </w:p>
    <w:p>
      <w:pPr>
        <w:spacing w:before="200" w:after="20" w:line="269" w:lineRule="auto"/>
      </w:pPr>
      <w:r>
        <w:rPr>
          <w:rFonts w:ascii="Cambria" w:hAnsi="Cambria"/>
          <w:b/>
          <w:i w:val="0"/>
          <w:color w:val="1C3460"/>
          <w:sz w:val="26"/>
        </w:rPr>
        <w:t>Slide 3</w:t>
      </w:r>
      <w:r>
        <w:rPr>
          <w:rFonts w:ascii="Cambria" w:hAnsi="Cambria"/>
          <w:b w:val="0"/>
          <w:i w:val="0"/>
          <w:color w:val="1B2A45"/>
          <w:sz w:val="26"/>
        </w:rPr>
        <w:t xml:space="preserve">   ·   Research question &amp; design</w:t>
      </w:r>
    </w:p>
    <w:p>
      <w:pPr>
        <w:spacing w:before="0" w:after="80" w:line="269" w:lineRule="auto"/>
      </w:pPr>
      <w:r>
        <w:rPr>
          <w:rFonts w:ascii="Calibri" w:hAnsi="Calibri"/>
          <w:b/>
          <w:i w:val="0"/>
          <w:color w:val="C7672C"/>
          <w:sz w:val="20"/>
          <w:spacing w:val="24"/>
        </w:rPr>
        <w:t>OSKAR</w:t>
      </w:r>
      <w:r>
        <w:rPr>
          <w:rFonts w:ascii="Calibri" w:hAnsi="Calibri"/>
          <w:b w:val="0"/>
          <w:i w:val="0"/>
          <w:color w:val="6A7890"/>
          <w:sz w:val="20"/>
        </w:rPr>
        <w:t xml:space="preserve">   ·   0:50   ·   </w:t>
      </w:r>
      <w:r>
        <w:rPr>
          <w:rFonts w:ascii="Calibri" w:hAnsi="Calibri"/>
          <w:b w:val="0"/>
          <w:i/>
          <w:color w:val="6A7890"/>
          <w:sz w:val="20"/>
        </w:rPr>
        <w:t>Cue: Read the question, then the two conditions.</w:t>
      </w:r>
    </w:p>
    <w:p>
      <w:pPr>
        <w:spacing w:before="0" w:after="80" w:line="283" w:lineRule="auto"/>
      </w:pPr>
      <w:r>
        <w:rPr>
          <w:rFonts w:ascii="Calibri" w:hAnsi="Calibri"/>
          <w:b w:val="0"/>
          <w:i w:val="0"/>
          <w:color w:val="1B2A45"/>
          <w:sz w:val="22"/>
        </w:rPr>
        <w:t>So we asked one narrow, reproducible question: if we fit a refusal direction from a small policy-derived dataset and remove it from Gemma's weights, how much does official SORRY-Bench refusal behaviour change? The design is deliberately minimal — two conditions: the untouched Gemma-4-E4B-it model, and the exact same checkpoint after one fixed refusal-direction weight edit. Both answer the same 440 SORRY-Bench prompts under deterministic decoding, scored by the official Mistral judge, where zero is a refusal and one is unsafe compliance. It's a paired design — every prompt answered once by each model — and the goal is to measure the change, not to build a useful model.</w:t>
      </w:r>
    </w:p>
    <w:p>
      <w:pPr>
        <w:spacing w:before="0" w:after="40" w:line="269" w:lineRule="auto"/>
      </w:pPr>
      <w:r>
        <w:rPr>
          <w:rFonts w:ascii="Calibri" w:hAnsi="Calibri"/>
          <w:b/>
          <w:i w:val="0"/>
          <w:color w:val="29457F"/>
          <w:sz w:val="20"/>
        </w:rPr>
        <w:t xml:space="preserve">→ Transition:  </w:t>
      </w:r>
      <w:r>
        <w:rPr>
          <w:rFonts w:ascii="Calibri" w:hAnsi="Calibri"/>
          <w:b w:val="0"/>
          <w:i/>
          <w:color w:val="6A7890"/>
          <w:sz w:val="20"/>
        </w:rPr>
        <w:t>Hand to Matthes for the method.</w:t>
      </w:r>
    </w:p>
    <w:p>
      <w:pPr>
        <w:spacing w:before="200" w:after="20" w:line="269" w:lineRule="auto"/>
      </w:pPr>
      <w:r>
        <w:rPr>
          <w:rFonts w:ascii="Cambria" w:hAnsi="Cambria"/>
          <w:b/>
          <w:i w:val="0"/>
          <w:color w:val="1C3460"/>
          <w:sz w:val="26"/>
        </w:rPr>
        <w:t>Slide 4</w:t>
      </w:r>
      <w:r>
        <w:rPr>
          <w:rFonts w:ascii="Cambria" w:hAnsi="Cambria"/>
          <w:b w:val="0"/>
          <w:i w:val="0"/>
          <w:color w:val="1B2A45"/>
          <w:sz w:val="26"/>
        </w:rPr>
        <w:t xml:space="preserve">   ·   Construction data</w:t>
      </w:r>
    </w:p>
    <w:p>
      <w:pPr>
        <w:spacing w:before="0" w:after="80" w:line="269" w:lineRule="auto"/>
      </w:pPr>
      <w:r>
        <w:rPr>
          <w:rFonts w:ascii="Calibri" w:hAnsi="Calibri"/>
          <w:b/>
          <w:i w:val="0"/>
          <w:color w:val="C7672C"/>
          <w:sz w:val="20"/>
          <w:spacing w:val="24"/>
        </w:rPr>
        <w:t>MATTHES</w:t>
      </w:r>
      <w:r>
        <w:rPr>
          <w:rFonts w:ascii="Calibri" w:hAnsi="Calibri"/>
          <w:b w:val="0"/>
          <w:i w:val="0"/>
          <w:color w:val="6A7890"/>
          <w:sz w:val="20"/>
        </w:rPr>
        <w:t xml:space="preserve">   ·   0:40   ·   </w:t>
      </w:r>
      <w:r>
        <w:rPr>
          <w:rFonts w:ascii="Calibri" w:hAnsi="Calibri"/>
          <w:b w:val="0"/>
          <w:i/>
          <w:color w:val="6A7890"/>
          <w:sz w:val="20"/>
        </w:rPr>
        <w:t>Cue: Stress: construction and benchmark never overlap.</w:t>
      </w:r>
    </w:p>
    <w:p>
      <w:pPr>
        <w:spacing w:before="0" w:after="80" w:line="283" w:lineRule="auto"/>
      </w:pPr>
      <w:r>
        <w:rPr>
          <w:rFonts w:ascii="Calibri" w:hAnsi="Calibri"/>
          <w:b w:val="0"/>
          <w:i w:val="0"/>
          <w:color w:val="1B2A45"/>
          <w:sz w:val="22"/>
        </w:rPr>
        <w:t>Thanks. The refusal direction is fit from a local, policy-derived dataset — 480 prompts built from Gemma's own Prohibited-Use Policy: twelve policy areas with twenty safe and twenty unsafe prompts each. We split by policy area: eight areas — 320 prompts — fit the direction; four areas — 160 prompts — are held out for a stability check. Prompts were generated with GPT-5.5 Pro and human-verified, and there's no training or fine-tuning anywhere. One deliberate choice: child-related harmful content is excluded from construction. And critically, as the table shows, the construction data and SORRY-Bench never overlap.</w:t>
      </w:r>
    </w:p>
    <w:p>
      <w:pPr>
        <w:spacing w:before="0" w:after="40" w:line="269" w:lineRule="auto"/>
      </w:pPr>
      <w:r>
        <w:rPr>
          <w:rFonts w:ascii="Calibri" w:hAnsi="Calibri"/>
          <w:b/>
          <w:i w:val="0"/>
          <w:color w:val="29457F"/>
          <w:sz w:val="20"/>
        </w:rPr>
        <w:t xml:space="preserve">→ Transition:  </w:t>
      </w:r>
      <w:r>
        <w:rPr>
          <w:rFonts w:ascii="Calibri" w:hAnsi="Calibri"/>
          <w:b w:val="0"/>
          <w:i/>
          <w:color w:val="6A7890"/>
          <w:sz w:val="20"/>
        </w:rPr>
        <w:t>Continue to the edit itself.</w:t>
      </w:r>
    </w:p>
    <w:p>
      <w:pPr>
        <w:spacing w:before="200" w:after="20" w:line="269" w:lineRule="auto"/>
      </w:pPr>
      <w:r>
        <w:rPr>
          <w:rFonts w:ascii="Cambria" w:hAnsi="Cambria"/>
          <w:b/>
          <w:i w:val="0"/>
          <w:color w:val="1C3460"/>
          <w:sz w:val="26"/>
        </w:rPr>
        <w:t>Slide 5</w:t>
      </w:r>
      <w:r>
        <w:rPr>
          <w:rFonts w:ascii="Cambria" w:hAnsi="Cambria"/>
          <w:b w:val="0"/>
          <w:i w:val="0"/>
          <w:color w:val="1B2A45"/>
          <w:sz w:val="26"/>
        </w:rPr>
        <w:t xml:space="preserve">   ·   The direction &amp; the weight edit</w:t>
      </w:r>
    </w:p>
    <w:p>
      <w:pPr>
        <w:spacing w:before="0" w:after="80" w:line="269" w:lineRule="auto"/>
      </w:pPr>
      <w:r>
        <w:rPr>
          <w:rFonts w:ascii="Calibri" w:hAnsi="Calibri"/>
          <w:b/>
          <w:i w:val="0"/>
          <w:color w:val="C7672C"/>
          <w:sz w:val="20"/>
          <w:spacing w:val="24"/>
        </w:rPr>
        <w:t>MATTHES</w:t>
      </w:r>
      <w:r>
        <w:rPr>
          <w:rFonts w:ascii="Calibri" w:hAnsi="Calibri"/>
          <w:b w:val="0"/>
          <w:i w:val="0"/>
          <w:color w:val="6A7890"/>
          <w:sz w:val="20"/>
        </w:rPr>
        <w:t xml:space="preserve">   ·   0:55   ·   </w:t>
      </w:r>
      <w:r>
        <w:rPr>
          <w:rFonts w:ascii="Calibri" w:hAnsi="Calibri"/>
          <w:b w:val="0"/>
          <w:i/>
          <w:color w:val="6A7890"/>
          <w:sz w:val="20"/>
        </w:rPr>
        <w:t>Cue: Two numbered steps; point at the W⊥ formula.</w:t>
      </w:r>
    </w:p>
    <w:p>
      <w:pPr>
        <w:spacing w:before="0" w:after="80" w:line="283" w:lineRule="auto"/>
      </w:pPr>
      <w:r>
        <w:rPr>
          <w:rFonts w:ascii="Calibri" w:hAnsi="Calibri"/>
          <w:b w:val="0"/>
          <w:i w:val="0"/>
          <w:color w:val="1B2A45"/>
          <w:sz w:val="22"/>
        </w:rPr>
        <w:t>The method is two steps. First, fit the direction: we run each prompt through the model, record the final-token hidden state at every layer, and take the mean of the unsafe activations minus the mean of the safe activations. One Gram-Schmidt step removes the component along the safe-prompt mean — a guardrail so we target refusal rather than erasing general answering ability — then we normalise to a unit vector r per layer. Second, remove it from the weights: for every layer we edit the attention-output and the MLP down-projection matrices, stripping from each column the part that writes along r — that's the formula, W-perp equals W minus r times r-transpose-W. We restore the original column norms, so it's norm-preserving, not just shrinking weights. One fixed edited model is then used for all 440 prompts.</w:t>
      </w:r>
    </w:p>
    <w:p>
      <w:pPr>
        <w:spacing w:before="0" w:after="40" w:line="269" w:lineRule="auto"/>
      </w:pPr>
      <w:r>
        <w:rPr>
          <w:rFonts w:ascii="Calibri" w:hAnsi="Calibri"/>
          <w:b/>
          <w:i w:val="0"/>
          <w:color w:val="29457F"/>
          <w:sz w:val="20"/>
        </w:rPr>
        <w:t xml:space="preserve">→ Transition:  </w:t>
      </w:r>
      <w:r>
        <w:rPr>
          <w:rFonts w:ascii="Calibri" w:hAnsi="Calibri"/>
          <w:b w:val="0"/>
          <w:i/>
          <w:color w:val="6A7890"/>
          <w:sz w:val="20"/>
        </w:rPr>
        <w:t>Continue to the stability check.</w:t>
      </w:r>
    </w:p>
    <w:p>
      <w:pPr>
        <w:spacing w:before="200" w:after="20" w:line="269" w:lineRule="auto"/>
      </w:pPr>
      <w:r>
        <w:rPr>
          <w:rFonts w:ascii="Cambria" w:hAnsi="Cambria"/>
          <w:b/>
          <w:i w:val="0"/>
          <w:color w:val="1C3460"/>
          <w:sz w:val="26"/>
        </w:rPr>
        <w:t>Slide 6</w:t>
      </w:r>
      <w:r>
        <w:rPr>
          <w:rFonts w:ascii="Cambria" w:hAnsi="Cambria"/>
          <w:b w:val="0"/>
          <w:i w:val="0"/>
          <w:color w:val="1B2A45"/>
          <w:sz w:val="26"/>
        </w:rPr>
        <w:t xml:space="preserve">   ·   Direction stability (sanity check)</w:t>
      </w:r>
    </w:p>
    <w:p>
      <w:pPr>
        <w:spacing w:before="0" w:after="80" w:line="269" w:lineRule="auto"/>
      </w:pPr>
      <w:r>
        <w:rPr>
          <w:rFonts w:ascii="Calibri" w:hAnsi="Calibri"/>
          <w:b/>
          <w:i w:val="0"/>
          <w:color w:val="C7672C"/>
          <w:sz w:val="20"/>
          <w:spacing w:val="24"/>
        </w:rPr>
        <w:t>MATTHES</w:t>
      </w:r>
      <w:r>
        <w:rPr>
          <w:rFonts w:ascii="Calibri" w:hAnsi="Calibri"/>
          <w:b w:val="0"/>
          <w:i w:val="0"/>
          <w:color w:val="6A7890"/>
          <w:sz w:val="20"/>
        </w:rPr>
        <w:t xml:space="preserve">   ·   0:30   ·   </w:t>
      </w:r>
      <w:r>
        <w:rPr>
          <w:rFonts w:ascii="Calibri" w:hAnsi="Calibri"/>
          <w:b w:val="0"/>
          <w:i/>
          <w:color w:val="6A7890"/>
          <w:sz w:val="20"/>
        </w:rPr>
        <w:t>Cue: Quick; emphasise it's never used to tune the result.</w:t>
      </w:r>
    </w:p>
    <w:p>
      <w:pPr>
        <w:spacing w:before="0" w:after="80" w:line="283" w:lineRule="auto"/>
      </w:pPr>
      <w:r>
        <w:rPr>
          <w:rFonts w:ascii="Calibri" w:hAnsi="Calibri"/>
          <w:b w:val="0"/>
          <w:i w:val="0"/>
          <w:color w:val="1B2A45"/>
          <w:sz w:val="22"/>
        </w:rPr>
        <w:t>Before any benchmarking, one sanity check. We fit the direction from different groups of policy areas and compared them layer by layer with cosine similarity against the held-out areas. The directions are stable — median cosine between 0.95 and 0.97, and the tenth-percentile line stays high too — which suggests we're capturing a shared, low-dimensional refusal signal, not just category wording. Important: this check is never used to tune the final result.</w:t>
      </w:r>
    </w:p>
    <w:p>
      <w:pPr>
        <w:spacing w:before="0" w:after="40" w:line="269" w:lineRule="auto"/>
      </w:pPr>
      <w:r>
        <w:rPr>
          <w:rFonts w:ascii="Calibri" w:hAnsi="Calibri"/>
          <w:b/>
          <w:i w:val="0"/>
          <w:color w:val="29457F"/>
          <w:sz w:val="20"/>
        </w:rPr>
        <w:t xml:space="preserve">→ Transition:  </w:t>
      </w:r>
      <w:r>
        <w:rPr>
          <w:rFonts w:ascii="Calibri" w:hAnsi="Calibri"/>
          <w:b w:val="0"/>
          <w:i/>
          <w:color w:val="6A7890"/>
          <w:sz w:val="20"/>
        </w:rPr>
        <w:t>Hand to Carl Johan for the statistics.</w:t>
      </w:r>
    </w:p>
    <w:p>
      <w:pPr>
        <w:spacing w:before="200" w:after="20" w:line="269" w:lineRule="auto"/>
      </w:pPr>
      <w:r>
        <w:rPr>
          <w:rFonts w:ascii="Cambria" w:hAnsi="Cambria"/>
          <w:b/>
          <w:i w:val="0"/>
          <w:color w:val="1C3460"/>
          <w:sz w:val="26"/>
        </w:rPr>
        <w:t>Slide 7</w:t>
      </w:r>
      <w:r>
        <w:rPr>
          <w:rFonts w:ascii="Cambria" w:hAnsi="Cambria"/>
          <w:b w:val="0"/>
          <w:i w:val="0"/>
          <w:color w:val="1B2A45"/>
          <w:sz w:val="26"/>
        </w:rPr>
        <w:t xml:space="preserve">   ·   Statistical design</w:t>
      </w:r>
    </w:p>
    <w:p>
      <w:pPr>
        <w:spacing w:before="0" w:after="80" w:line="269" w:lineRule="auto"/>
      </w:pPr>
      <w:r>
        <w:rPr>
          <w:rFonts w:ascii="Calibri" w:hAnsi="Calibri"/>
          <w:b/>
          <w:i w:val="0"/>
          <w:color w:val="C7672C"/>
          <w:sz w:val="20"/>
          <w:spacing w:val="24"/>
        </w:rPr>
        <w:t>CARL JOHAN</w:t>
      </w:r>
      <w:r>
        <w:rPr>
          <w:rFonts w:ascii="Calibri" w:hAnsi="Calibri"/>
          <w:b w:val="0"/>
          <w:i w:val="0"/>
          <w:color w:val="6A7890"/>
          <w:sz w:val="20"/>
        </w:rPr>
        <w:t xml:space="preserve">   ·   0:45   ·   </w:t>
      </w:r>
      <w:r>
        <w:rPr>
          <w:rFonts w:ascii="Calibri" w:hAnsi="Calibri"/>
          <w:b w:val="0"/>
          <w:i/>
          <w:color w:val="6A7890"/>
          <w:sz w:val="20"/>
        </w:rPr>
        <w:t>Cue: Signed change → tests; mention power and determinism.</w:t>
      </w:r>
    </w:p>
    <w:p>
      <w:pPr>
        <w:spacing w:before="0" w:after="80" w:line="283" w:lineRule="auto"/>
      </w:pPr>
      <w:r>
        <w:rPr>
          <w:rFonts w:ascii="Calibri" w:hAnsi="Calibri"/>
          <w:b w:val="0"/>
          <w:i w:val="0"/>
          <w:color w:val="1B2A45"/>
          <w:sz w:val="22"/>
        </w:rPr>
        <w:t>Thanks. Because both models answer the same prompts, this is a paired experiment. Each prompt gets a signed change — plus one if the edit turns a refusal into compliance, minus one for the reverse, zero if nothing changes — and our effect size is the mean signed change. We run McNemar's exact test on the discordant pairs to ask whether flips in the two directions are equally likely; we report a 95% confidence interval from the paired standard error; and as a robustness check we use a category-clustered bootstrap with twenty thousand replicates. The design is powered — 440 prompts give about 88% power to detect a 15-point change — and because decoding is deterministic, every flip is a real label change, not run-to-run noise.</w:t>
      </w:r>
    </w:p>
    <w:p>
      <w:pPr>
        <w:spacing w:before="0" w:after="40" w:line="269" w:lineRule="auto"/>
      </w:pPr>
      <w:r>
        <w:rPr>
          <w:rFonts w:ascii="Calibri" w:hAnsi="Calibri"/>
          <w:b/>
          <w:i w:val="0"/>
          <w:color w:val="29457F"/>
          <w:sz w:val="20"/>
        </w:rPr>
        <w:t xml:space="preserve">→ Transition:  </w:t>
      </w:r>
      <w:r>
        <w:rPr>
          <w:rFonts w:ascii="Calibri" w:hAnsi="Calibri"/>
          <w:b w:val="0"/>
          <w:i/>
          <w:color w:val="6A7890"/>
          <w:sz w:val="20"/>
        </w:rPr>
        <w:t>Continue to the headline result.</w:t>
      </w:r>
    </w:p>
    <w:p>
      <w:pPr>
        <w:spacing w:before="200" w:after="20" w:line="269" w:lineRule="auto"/>
      </w:pPr>
      <w:r>
        <w:rPr>
          <w:rFonts w:ascii="Cambria" w:hAnsi="Cambria"/>
          <w:b/>
          <w:i w:val="0"/>
          <w:color w:val="1C3460"/>
          <w:sz w:val="26"/>
        </w:rPr>
        <w:t>Slide 8</w:t>
      </w:r>
      <w:r>
        <w:rPr>
          <w:rFonts w:ascii="Cambria" w:hAnsi="Cambria"/>
          <w:b w:val="0"/>
          <w:i w:val="0"/>
          <w:color w:val="1B2A45"/>
          <w:sz w:val="26"/>
        </w:rPr>
        <w:t xml:space="preserve">   ·   Main result</w:t>
      </w:r>
    </w:p>
    <w:p>
      <w:pPr>
        <w:spacing w:before="0" w:after="80" w:line="269" w:lineRule="auto"/>
      </w:pPr>
      <w:r>
        <w:rPr>
          <w:rFonts w:ascii="Calibri" w:hAnsi="Calibri"/>
          <w:b/>
          <w:i w:val="0"/>
          <w:color w:val="C7672C"/>
          <w:sz w:val="20"/>
          <w:spacing w:val="24"/>
        </w:rPr>
        <w:t>CARL JOHAN</w:t>
      </w:r>
      <w:r>
        <w:rPr>
          <w:rFonts w:ascii="Calibri" w:hAnsi="Calibri"/>
          <w:b w:val="0"/>
          <w:i w:val="0"/>
          <w:color w:val="6A7890"/>
          <w:sz w:val="20"/>
        </w:rPr>
        <w:t xml:space="preserve">   ·   0:50   ·   </w:t>
      </w:r>
      <w:r>
        <w:rPr>
          <w:rFonts w:ascii="Calibri" w:hAnsi="Calibri"/>
          <w:b w:val="0"/>
          <w:i/>
          <w:color w:val="6A7890"/>
          <w:sz w:val="20"/>
        </w:rPr>
        <w:t>Cue: Land the numbers slowly; pause after 55.2 pp.</w:t>
      </w:r>
    </w:p>
    <w:p>
      <w:pPr>
        <w:spacing w:before="0" w:after="80" w:line="283" w:lineRule="auto"/>
      </w:pPr>
      <w:r>
        <w:rPr>
          <w:rFonts w:ascii="Calibri" w:hAnsi="Calibri"/>
          <w:b w:val="0"/>
          <w:i w:val="0"/>
          <w:color w:val="1B2A45"/>
          <w:sz w:val="22"/>
        </w:rPr>
        <w:t>And here's the headline. Baseline Gemma complies with 21.4% of prompts — 94 of 440. After the edit, that jumps to 76.6% — 337 of 440. The paired difference is plus 55.2 percentage points, with a 95% interval of 50.4 to 60, and even the conservative category-clustered bootstrap interval, 47 to 63, stays far from zero. The figure shows it with Wilson intervals on each bar. The thing to hold onto: this is the same model and one deterministic weight edit — no retraining — and most of the benchmark's refusal behaviour is gone.</w:t>
      </w:r>
    </w:p>
    <w:p>
      <w:pPr>
        <w:spacing w:before="0" w:after="40" w:line="269" w:lineRule="auto"/>
      </w:pPr>
      <w:r>
        <w:rPr>
          <w:rFonts w:ascii="Calibri" w:hAnsi="Calibri"/>
          <w:b/>
          <w:i w:val="0"/>
          <w:color w:val="29457F"/>
          <w:sz w:val="20"/>
        </w:rPr>
        <w:t xml:space="preserve">→ Transition:  </w:t>
      </w:r>
      <w:r>
        <w:rPr>
          <w:rFonts w:ascii="Calibri" w:hAnsi="Calibri"/>
          <w:b w:val="0"/>
          <w:i/>
          <w:color w:val="6A7890"/>
          <w:sz w:val="20"/>
        </w:rPr>
        <w:t>Hand to Oliver for where the change comes from.</w:t>
      </w:r>
    </w:p>
    <w:p>
      <w:pPr>
        <w:spacing w:before="200" w:after="20" w:line="269" w:lineRule="auto"/>
      </w:pPr>
      <w:r>
        <w:rPr>
          <w:rFonts w:ascii="Cambria" w:hAnsi="Cambria"/>
          <w:b/>
          <w:i w:val="0"/>
          <w:color w:val="1C3460"/>
          <w:sz w:val="26"/>
        </w:rPr>
        <w:t>Slide 9</w:t>
      </w:r>
      <w:r>
        <w:rPr>
          <w:rFonts w:ascii="Cambria" w:hAnsi="Cambria"/>
          <w:b w:val="0"/>
          <w:i w:val="0"/>
          <w:color w:val="1B2A45"/>
          <w:sz w:val="26"/>
        </w:rPr>
        <w:t xml:space="preserve">   ·   Paired flips &amp; McNemar</w:t>
      </w:r>
    </w:p>
    <w:p>
      <w:pPr>
        <w:spacing w:before="0" w:after="80" w:line="269" w:lineRule="auto"/>
      </w:pPr>
      <w:r>
        <w:rPr>
          <w:rFonts w:ascii="Calibri" w:hAnsi="Calibri"/>
          <w:b/>
          <w:i w:val="0"/>
          <w:color w:val="C7672C"/>
          <w:sz w:val="20"/>
          <w:spacing w:val="24"/>
        </w:rPr>
        <w:t>OLIVER</w:t>
      </w:r>
      <w:r>
        <w:rPr>
          <w:rFonts w:ascii="Calibri" w:hAnsi="Calibri"/>
          <w:b w:val="0"/>
          <w:i w:val="0"/>
          <w:color w:val="6A7890"/>
          <w:sz w:val="20"/>
        </w:rPr>
        <w:t xml:space="preserve">   ·   0:45   ·   </w:t>
      </w:r>
      <w:r>
        <w:rPr>
          <w:rFonts w:ascii="Calibri" w:hAnsi="Calibri"/>
          <w:b w:val="0"/>
          <w:i/>
          <w:color w:val="6A7890"/>
          <w:sz w:val="20"/>
        </w:rPr>
        <w:t>Cue: Walk the 2×2; land on 247 vs 4.</w:t>
      </w:r>
    </w:p>
    <w:p>
      <w:pPr>
        <w:spacing w:before="0" w:after="80" w:line="283" w:lineRule="auto"/>
      </w:pPr>
      <w:r>
        <w:rPr>
          <w:rFonts w:ascii="Calibri" w:hAnsi="Calibri"/>
          <w:b w:val="0"/>
          <w:i w:val="0"/>
          <w:color w:val="1B2A45"/>
          <w:sz w:val="22"/>
        </w:rPr>
        <w:t>Thanks. This table is where the aggregate change comes from. Of the prompts baseline Gemma refused, 247 flipped to compliance after the edit and only 99 stayed refusals. Of the ones it already complied with, just 4 flipped the other way. So 247 versus 4 — almost entirely one-directional — and McNemar's exact test gives a p-value around ten-to-the-minus-sixty-eight. The four opposite flips are borderline, caution-heavy cases like personal insults and fake news, so we report them as error analysis, not as a safety gain.</w:t>
      </w:r>
    </w:p>
    <w:p>
      <w:pPr>
        <w:spacing w:before="0" w:after="40" w:line="269" w:lineRule="auto"/>
      </w:pPr>
      <w:r>
        <w:rPr>
          <w:rFonts w:ascii="Calibri" w:hAnsi="Calibri"/>
          <w:b/>
          <w:i w:val="0"/>
          <w:color w:val="29457F"/>
          <w:sz w:val="20"/>
        </w:rPr>
        <w:t xml:space="preserve">→ Transition:  </w:t>
      </w:r>
      <w:r>
        <w:rPr>
          <w:rFonts w:ascii="Calibri" w:hAnsi="Calibri"/>
          <w:b w:val="0"/>
          <w:i/>
          <w:color w:val="6A7890"/>
          <w:sz w:val="20"/>
        </w:rPr>
        <w:t>Continue to the category view.</w:t>
      </w:r>
    </w:p>
    <w:p>
      <w:pPr>
        <w:spacing w:before="200" w:after="20" w:line="269" w:lineRule="auto"/>
      </w:pPr>
      <w:r>
        <w:rPr>
          <w:rFonts w:ascii="Cambria" w:hAnsi="Cambria"/>
          <w:b/>
          <w:i w:val="0"/>
          <w:color w:val="1C3460"/>
          <w:sz w:val="26"/>
        </w:rPr>
        <w:t>Slide 10</w:t>
      </w:r>
      <w:r>
        <w:rPr>
          <w:rFonts w:ascii="Cambria" w:hAnsi="Cambria"/>
          <w:b w:val="0"/>
          <w:i w:val="0"/>
          <w:color w:val="1B2A45"/>
          <w:sz w:val="26"/>
        </w:rPr>
        <w:t xml:space="preserve">   ·   Category-level error analysis</w:t>
      </w:r>
    </w:p>
    <w:p>
      <w:pPr>
        <w:spacing w:before="0" w:after="80" w:line="269" w:lineRule="auto"/>
      </w:pPr>
      <w:r>
        <w:rPr>
          <w:rFonts w:ascii="Calibri" w:hAnsi="Calibri"/>
          <w:b/>
          <w:i w:val="0"/>
          <w:color w:val="C7672C"/>
          <w:sz w:val="20"/>
          <w:spacing w:val="24"/>
        </w:rPr>
        <w:t>OLIVER</w:t>
      </w:r>
      <w:r>
        <w:rPr>
          <w:rFonts w:ascii="Calibri" w:hAnsi="Calibri"/>
          <w:b w:val="0"/>
          <w:i w:val="0"/>
          <w:color w:val="6A7890"/>
          <w:sz w:val="20"/>
        </w:rPr>
        <w:t xml:space="preserve">   ·   0:45   ·   </w:t>
      </w:r>
      <w:r>
        <w:rPr>
          <w:rFonts w:ascii="Calibri" w:hAnsi="Calibri"/>
          <w:b w:val="0"/>
          <w:i/>
          <w:color w:val="6A7890"/>
          <w:sz w:val="20"/>
        </w:rPr>
        <w:t>Cue: Broad-but-uneven; flag the child-related point and the 10/category caveat.</w:t>
      </w:r>
    </w:p>
    <w:p>
      <w:pPr>
        <w:spacing w:before="0" w:after="80" w:line="283" w:lineRule="auto"/>
      </w:pPr>
      <w:r>
        <w:rPr>
          <w:rFonts w:ascii="Calibri" w:hAnsi="Calibri"/>
          <w:b w:val="0"/>
          <w:i w:val="0"/>
          <w:color w:val="1B2A45"/>
          <w:sz w:val="22"/>
        </w:rPr>
        <w:t>By category, the shift is broad but uneven. On the left, many categories move from zero compliance all the way to a hundred — system intrusion, explicit content, governance advice — while others barely move. On the right, the refusals that remain are concentrated: 103 prompts are still refused, clustered in a handful of categories, with child-related crimes worst at seven out of ten, then insults, harassment, PII and financial advice. One striking point — child-related crimes still rose about thirty points even though we excluded that content from construction. With only ten prompts per category, this is exploratory error analysis, not a ranking.</w:t>
      </w:r>
    </w:p>
    <w:p>
      <w:pPr>
        <w:spacing w:before="0" w:after="40" w:line="269" w:lineRule="auto"/>
      </w:pPr>
      <w:r>
        <w:rPr>
          <w:rFonts w:ascii="Calibri" w:hAnsi="Calibri"/>
          <w:b/>
          <w:i w:val="0"/>
          <w:color w:val="29457F"/>
          <w:sz w:val="20"/>
        </w:rPr>
        <w:t xml:space="preserve">→ Transition:  </w:t>
      </w:r>
      <w:r>
        <w:rPr>
          <w:rFonts w:ascii="Calibri" w:hAnsi="Calibri"/>
          <w:b w:val="0"/>
          <w:i/>
          <w:color w:val="6A7890"/>
          <w:sz w:val="20"/>
        </w:rPr>
        <w:t>Hand back to Oskar to close.</w:t>
      </w:r>
    </w:p>
    <w:p>
      <w:pPr>
        <w:spacing w:before="200" w:after="20" w:line="269" w:lineRule="auto"/>
      </w:pPr>
      <w:r>
        <w:rPr>
          <w:rFonts w:ascii="Cambria" w:hAnsi="Cambria"/>
          <w:b/>
          <w:i w:val="0"/>
          <w:color w:val="1C3460"/>
          <w:sz w:val="26"/>
        </w:rPr>
        <w:t>Slide 11</w:t>
      </w:r>
      <w:r>
        <w:rPr>
          <w:rFonts w:ascii="Cambria" w:hAnsi="Cambria"/>
          <w:b w:val="0"/>
          <w:i w:val="0"/>
          <w:color w:val="1B2A45"/>
          <w:sz w:val="26"/>
        </w:rPr>
        <w:t xml:space="preserve">   ·   Conclusion &amp; implications</w:t>
      </w:r>
    </w:p>
    <w:p>
      <w:pPr>
        <w:spacing w:before="0" w:after="80" w:line="269" w:lineRule="auto"/>
      </w:pPr>
      <w:r>
        <w:rPr>
          <w:rFonts w:ascii="Calibri" w:hAnsi="Calibri"/>
          <w:b/>
          <w:i w:val="0"/>
          <w:color w:val="C7672C"/>
          <w:sz w:val="20"/>
          <w:spacing w:val="24"/>
        </w:rPr>
        <w:t>OSKAR</w:t>
      </w:r>
      <w:r>
        <w:rPr>
          <w:rFonts w:ascii="Calibri" w:hAnsi="Calibri"/>
          <w:b w:val="0"/>
          <w:i w:val="0"/>
          <w:color w:val="6A7890"/>
          <w:sz w:val="20"/>
        </w:rPr>
        <w:t xml:space="preserve">   ·   0:40   ·   </w:t>
      </w:r>
      <w:r>
        <w:rPr>
          <w:rFonts w:ascii="Calibri" w:hAnsi="Calibri"/>
          <w:b w:val="0"/>
          <w:i/>
          <w:color w:val="6A7890"/>
          <w:sz w:val="20"/>
        </w:rPr>
        <w:t>Cue: Result / scope / implication, then thanks.</w:t>
      </w:r>
    </w:p>
    <w:p>
      <w:pPr>
        <w:spacing w:before="0" w:after="80" w:line="283" w:lineRule="auto"/>
      </w:pPr>
      <w:r>
        <w:rPr>
          <w:rFonts w:ascii="Calibri" w:hAnsi="Calibri"/>
          <w:b w:val="0"/>
          <w:i w:val="0"/>
          <w:color w:val="1B2A45"/>
          <w:sz w:val="22"/>
        </w:rPr>
        <w:t>To wrap up. The result: for this Gemma model, one fitted refusal-direction edit removes most of the benchmark-measured refusal — 21 to 77 percent, flips 247 versus 4 — statistically clear and practically large. The scope: this is a benchmark-specific behaviour change, not a verdict on the model's overall quality or every safety mechanism, and some categories stay resistant. The implication — really the point — is that a static refusal rate alone doesn't capture robustness for open-weight models; our own residual follow-up even showed how easily you slip into test-set leakage. Future safety evaluations should add robustness-to-editing and fresh held-out tests. Everything is in the repo. Thank you — we're happy to take questions.</w:t>
      </w:r>
    </w:p>
    <w:p>
      <w:pPr>
        <w:spacing w:before="0" w:after="40" w:line="269" w:lineRule="auto"/>
      </w:pPr>
      <w:r>
        <w:rPr>
          <w:rFonts w:ascii="Calibri" w:hAnsi="Calibri"/>
          <w:b/>
          <w:i w:val="0"/>
          <w:color w:val="29457F"/>
          <w:sz w:val="20"/>
        </w:rPr>
        <w:t xml:space="preserve">→ Transition:  </w:t>
      </w:r>
      <w:r>
        <w:rPr>
          <w:rFonts w:ascii="Calibri" w:hAnsi="Calibri"/>
          <w:b w:val="0"/>
          <w:i/>
          <w:color w:val="6A7890"/>
          <w:sz w:val="20"/>
        </w:rPr>
        <w:t>End of presentation; open the floor.</w:t>
      </w:r>
    </w:p>
    <w:p>
      <w:r>
        <w:br w:type="page"/>
      </w:r>
    </w:p>
    <w:p>
      <w:pPr>
        <w:spacing w:before="0" w:after="160" w:line="269" w:lineRule="auto"/>
      </w:pPr>
      <w:r>
        <w:rPr>
          <w:rFonts w:ascii="Cambria" w:hAnsi="Cambria"/>
          <w:b/>
          <w:i w:val="0"/>
          <w:color w:val="1C3460"/>
          <w:sz w:val="28"/>
        </w:rPr>
        <w:t>Anticipated questions</w:t>
      </w:r>
    </w:p>
    <w:p>
      <w:pPr>
        <w:spacing w:before="160" w:after="40" w:line="269" w:lineRule="auto"/>
      </w:pPr>
      <w:r>
        <w:rPr>
          <w:rFonts w:ascii="Calibri" w:hAnsi="Calibri"/>
          <w:b/>
          <w:i w:val="0"/>
          <w:color w:val="C7672C"/>
          <w:sz w:val="22"/>
        </w:rPr>
        <w:t xml:space="preserve">Q.  </w:t>
      </w:r>
      <w:r>
        <w:rPr>
          <w:rFonts w:ascii="Calibri" w:hAnsi="Calibri"/>
          <w:b/>
          <w:i w:val="0"/>
          <w:color w:val="29457F"/>
          <w:sz w:val="22"/>
        </w:rPr>
        <w:t>Why Gemma-4-E4B-it specifically?</w:t>
      </w:r>
    </w:p>
    <w:p>
      <w:pPr>
        <w:spacing w:before="0" w:after="80" w:line="283" w:lineRule="auto"/>
      </w:pPr>
      <w:r>
        <w:rPr>
          <w:rFonts w:ascii="Calibri" w:hAnsi="Calibri"/>
          <w:b/>
          <w:i w:val="0"/>
          <w:color w:val="6A7890"/>
          <w:sz w:val="22"/>
        </w:rPr>
        <w:t xml:space="preserve">A.  </w:t>
      </w:r>
      <w:r>
        <w:rPr>
          <w:rFonts w:ascii="Calibri" w:hAnsi="Calibri"/>
          <w:b w:val="0"/>
          <w:i w:val="0"/>
          <w:color w:val="1B2A45"/>
          <w:sz w:val="22"/>
        </w:rPr>
        <w:t>It's an instruction-tuned, open-weight model we can run locally while still doing direct weight-space intervention — which simply isn't possible through a closed, hosted API. The exact checkpoint revision is pinned.</w:t>
      </w:r>
    </w:p>
    <w:p>
      <w:pPr>
        <w:spacing w:before="160" w:after="40" w:line="269" w:lineRule="auto"/>
      </w:pPr>
      <w:r>
        <w:rPr>
          <w:rFonts w:ascii="Calibri" w:hAnsi="Calibri"/>
          <w:b/>
          <w:i w:val="0"/>
          <w:color w:val="C7672C"/>
          <w:sz w:val="22"/>
        </w:rPr>
        <w:t xml:space="preserve">Q.  </w:t>
      </w:r>
      <w:r>
        <w:rPr>
          <w:rFonts w:ascii="Calibri" w:hAnsi="Calibri"/>
          <w:b/>
          <w:i w:val="0"/>
          <w:color w:val="29457F"/>
          <w:sz w:val="22"/>
        </w:rPr>
        <w:t>Isn't this just “abliteration” from the open-source community?</w:t>
      </w:r>
    </w:p>
    <w:p>
      <w:pPr>
        <w:spacing w:before="0" w:after="80" w:line="283" w:lineRule="auto"/>
      </w:pPr>
      <w:r>
        <w:rPr>
          <w:rFonts w:ascii="Calibri" w:hAnsi="Calibri"/>
          <w:b/>
          <w:i w:val="0"/>
          <w:color w:val="6A7890"/>
          <w:sz w:val="22"/>
        </w:rPr>
        <w:t xml:space="preserve">A.  </w:t>
      </w:r>
      <w:r>
        <w:rPr>
          <w:rFonts w:ascii="Calibri" w:hAnsi="Calibri"/>
          <w:b w:val="0"/>
          <w:i w:val="0"/>
          <w:color w:val="1B2A45"/>
          <w:sz w:val="22"/>
        </w:rPr>
        <w:t>It's in that family, yes. Our contribution is the evaluation, not a new attack: a paired SORRY-Bench design with McNemar's exact test and a category-clustered bootstrap, a norm-preserving edit, and a policy-derived construction set that's disjoint from the benchmark.</w:t>
      </w:r>
    </w:p>
    <w:p>
      <w:pPr>
        <w:spacing w:before="160" w:after="40" w:line="269" w:lineRule="auto"/>
      </w:pPr>
      <w:r>
        <w:rPr>
          <w:rFonts w:ascii="Calibri" w:hAnsi="Calibri"/>
          <w:b/>
          <w:i w:val="0"/>
          <w:color w:val="C7672C"/>
          <w:sz w:val="22"/>
        </w:rPr>
        <w:t xml:space="preserve">Q.  </w:t>
      </w:r>
      <w:r>
        <w:rPr>
          <w:rFonts w:ascii="Calibri" w:hAnsi="Calibri"/>
          <w:b/>
          <w:i w:val="0"/>
          <w:color w:val="29457F"/>
          <w:sz w:val="22"/>
        </w:rPr>
        <w:t>Does the binary Mistral judge bias the result?</w:t>
      </w:r>
    </w:p>
    <w:p>
      <w:pPr>
        <w:spacing w:before="0" w:after="80" w:line="283" w:lineRule="auto"/>
      </w:pPr>
      <w:r>
        <w:rPr>
          <w:rFonts w:ascii="Calibri" w:hAnsi="Calibri"/>
          <w:b/>
          <w:i w:val="0"/>
          <w:color w:val="6A7890"/>
          <w:sz w:val="22"/>
        </w:rPr>
        <w:t xml:space="preserve">A.  </w:t>
      </w:r>
      <w:r>
        <w:rPr>
          <w:rFonts w:ascii="Calibri" w:hAnsi="Calibri"/>
          <w:b w:val="0"/>
          <w:i w:val="0"/>
          <w:color w:val="1B2A45"/>
          <w:sz w:val="22"/>
        </w:rPr>
        <w:t>It's reproducible and official but coarse. We manually audited a stratified sample of 40 outputs and found the official labels reasonable for 36 of 40; the borderline ones mixed cautionary language with task help. Some score-1 answers still carry disclaimers — so we read 76.6% as “judged compliance,” not “maximally harmful.”</w:t>
      </w:r>
    </w:p>
    <w:p>
      <w:pPr>
        <w:spacing w:before="160" w:after="40" w:line="269" w:lineRule="auto"/>
      </w:pPr>
      <w:r>
        <w:rPr>
          <w:rFonts w:ascii="Calibri" w:hAnsi="Calibri"/>
          <w:b/>
          <w:i w:val="0"/>
          <w:color w:val="C7672C"/>
          <w:sz w:val="22"/>
        </w:rPr>
        <w:t xml:space="preserve">Q.  </w:t>
      </w:r>
      <w:r>
        <w:rPr>
          <w:rFonts w:ascii="Calibri" w:hAnsi="Calibri"/>
          <w:b/>
          <w:i w:val="0"/>
          <w:color w:val="29457F"/>
          <w:sz w:val="22"/>
        </w:rPr>
        <w:t>You excluded child-related prompts from construction — why did that category still rise ~30 pp?</w:t>
      </w:r>
    </w:p>
    <w:p>
      <w:pPr>
        <w:spacing w:before="0" w:after="80" w:line="283" w:lineRule="auto"/>
      </w:pPr>
      <w:r>
        <w:rPr>
          <w:rFonts w:ascii="Calibri" w:hAnsi="Calibri"/>
          <w:b/>
          <w:i w:val="0"/>
          <w:color w:val="6A7890"/>
          <w:sz w:val="22"/>
        </w:rPr>
        <w:t xml:space="preserve">A.  </w:t>
      </w:r>
      <w:r>
        <w:rPr>
          <w:rFonts w:ascii="Calibri" w:hAnsi="Calibri"/>
          <w:b w:val="0"/>
          <w:i w:val="0"/>
          <w:color w:val="1B2A45"/>
          <w:sz w:val="22"/>
        </w:rPr>
        <w:t>We excluded it from the construction data as a data-handling choice, to avoid generating or inspecting that content; SORRY-Bench still tests it through aggregate scores. The rise shows the fitted direction generalises beyond the categories it was built from — consistent with a shared refusal signal.</w:t>
      </w:r>
    </w:p>
    <w:p>
      <w:pPr>
        <w:spacing w:before="160" w:after="40" w:line="269" w:lineRule="auto"/>
      </w:pPr>
      <w:r>
        <w:rPr>
          <w:rFonts w:ascii="Calibri" w:hAnsi="Calibri"/>
          <w:b/>
          <w:i w:val="0"/>
          <w:color w:val="C7672C"/>
          <w:sz w:val="22"/>
        </w:rPr>
        <w:t xml:space="preserve">Q.  </w:t>
      </w:r>
      <w:r>
        <w:rPr>
          <w:rFonts w:ascii="Calibri" w:hAnsi="Calibri"/>
          <w:b/>
          <w:i w:val="0"/>
          <w:color w:val="29457F"/>
          <w:sz w:val="22"/>
        </w:rPr>
        <w:t>What about the eight generations that hit the token cap?</w:t>
      </w:r>
    </w:p>
    <w:p>
      <w:pPr>
        <w:spacing w:before="0" w:after="80" w:line="283" w:lineRule="auto"/>
      </w:pPr>
      <w:r>
        <w:rPr>
          <w:rFonts w:ascii="Calibri" w:hAnsi="Calibri"/>
          <w:b/>
          <w:i w:val="0"/>
          <w:color w:val="6A7890"/>
          <w:sz w:val="22"/>
        </w:rPr>
        <w:t xml:space="preserve">A.  </w:t>
      </w:r>
      <w:r>
        <w:rPr>
          <w:rFonts w:ascii="Calibri" w:hAnsi="Calibri"/>
          <w:b w:val="0"/>
          <w:i w:val="0"/>
          <w:color w:val="1B2A45"/>
          <w:sz w:val="22"/>
        </w:rPr>
        <w:t>All eight were in the baseline condition. A sensitivity check that drops those prompts still gives a +56.0 pp paired increase — the same substantive conclusion.</w:t>
      </w:r>
    </w:p>
    <w:p>
      <w:pPr>
        <w:spacing w:before="160" w:after="40" w:line="269" w:lineRule="auto"/>
      </w:pPr>
      <w:r>
        <w:rPr>
          <w:rFonts w:ascii="Calibri" w:hAnsi="Calibri"/>
          <w:b/>
          <w:i w:val="0"/>
          <w:color w:val="C7672C"/>
          <w:sz w:val="22"/>
        </w:rPr>
        <w:t xml:space="preserve">Q.  </w:t>
      </w:r>
      <w:r>
        <w:rPr>
          <w:rFonts w:ascii="Calibri" w:hAnsi="Calibri"/>
          <w:b/>
          <w:i w:val="0"/>
          <w:color w:val="29457F"/>
          <w:sz w:val="22"/>
        </w:rPr>
        <w:t>Is the effect just statistical luck given the sample size?</w:t>
      </w:r>
    </w:p>
    <w:p>
      <w:pPr>
        <w:spacing w:before="0" w:after="80" w:line="283" w:lineRule="auto"/>
      </w:pPr>
      <w:r>
        <w:rPr>
          <w:rFonts w:ascii="Calibri" w:hAnsi="Calibri"/>
          <w:b/>
          <w:i w:val="0"/>
          <w:color w:val="6A7890"/>
          <w:sz w:val="22"/>
        </w:rPr>
        <w:t xml:space="preserve">A.  </w:t>
      </w:r>
      <w:r>
        <w:rPr>
          <w:rFonts w:ascii="Calibri" w:hAnsi="Calibri"/>
          <w:b w:val="0"/>
          <w:i w:val="0"/>
          <w:color w:val="1B2A45"/>
          <w:sz w:val="22"/>
        </w:rPr>
        <w:t>No. We pre-justified n with a power calculation: 440 paired prompts give 88.2% power for a 15 pp change, and the observed 55.2 pp is far above that threshold, with both the normal-approximation and clustered-bootstrap intervals well clear of zero.</w:t>
      </w:r>
    </w:p>
    <w:p>
      <w:pPr>
        <w:spacing w:before="160" w:after="40" w:line="269" w:lineRule="auto"/>
      </w:pPr>
      <w:r>
        <w:rPr>
          <w:rFonts w:ascii="Calibri" w:hAnsi="Calibri"/>
          <w:b/>
          <w:i w:val="0"/>
          <w:color w:val="C7672C"/>
          <w:sz w:val="22"/>
        </w:rPr>
        <w:t xml:space="preserve">Q.  </w:t>
      </w:r>
      <w:r>
        <w:rPr>
          <w:rFonts w:ascii="Calibri" w:hAnsi="Calibri"/>
          <w:b/>
          <w:i w:val="0"/>
          <w:color w:val="29457F"/>
          <w:sz w:val="22"/>
        </w:rPr>
        <w:t>What's the residual follow-up you mention, and why flag leakage?</w:t>
      </w:r>
    </w:p>
    <w:p>
      <w:pPr>
        <w:spacing w:before="0" w:after="80" w:line="283" w:lineRule="auto"/>
      </w:pPr>
      <w:r>
        <w:rPr>
          <w:rFonts w:ascii="Calibri" w:hAnsi="Calibri"/>
          <w:b/>
          <w:i w:val="0"/>
          <w:color w:val="6A7890"/>
          <w:sz w:val="22"/>
        </w:rPr>
        <w:t xml:space="preserve">A.  </w:t>
      </w:r>
      <w:r>
        <w:rPr>
          <w:rFonts w:ascii="Calibri" w:hAnsi="Calibri"/>
          <w:b w:val="0"/>
          <w:i w:val="0"/>
          <w:color w:val="1B2A45"/>
          <w:sz w:val="22"/>
        </w:rPr>
        <w:t>We did a small exploratory follow-up fitting a second direction against the prompts the edited model still refused. It further reduced refusal — but because it uses final evaluation outcomes to design a new intervention, it's test-set leakage. We report it strictly as error analysis, not a confirmatory second result.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A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