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Calibri" w:hAnsi="Calibri"/>
          <w:b/>
          <w:i w:val="0"/>
          <w:caps/>
          <w:color w:val="C7672C"/>
          <w:sz w:val="22"/>
          <w:spacing w:val="32"/>
        </w:rPr>
        <w:t>CLOSED-DOOR SEMINAR · VIDEO-PITCH SCRIPT &amp; EXAMINER PREP  (v2)</w:t>
      </w:r>
    </w:p>
    <w:p>
      <w:pPr>
        <w:spacing w:before="0" w:after="40" w:line="269" w:lineRule="auto"/>
      </w:pPr>
      <w:r>
        <w:rPr>
          <w:rFonts w:ascii="Cambria" w:hAnsi="Cambria"/>
          <w:b/>
          <w:i w:val="0"/>
          <w:color w:val="1C3460"/>
          <w:sz w:val="40"/>
        </w:rPr>
        <w:t>Statistical Evaluation of Refusal-Direction Ablation in Gemma</w:t>
      </w:r>
    </w:p>
    <w:p>
      <w:pPr>
        <w:spacing w:before="0" w:after="200" w:line="269" w:lineRule="auto"/>
      </w:pPr>
      <w:r>
        <w:rPr>
          <w:rFonts w:ascii="Calibri" w:hAnsi="Calibri"/>
          <w:b w:val="0"/>
          <w:i w:val="0"/>
          <w:color w:val="6A7890"/>
          <w:sz w:val="21"/>
        </w:rPr>
        <w:t>02445 — Design &amp; Evaluate a GenAI System · DTU · Group of 4</w:t>
      </w:r>
    </w:p>
    <w:p>
      <w:pPr>
        <w:spacing w:before="40" w:after="100" w:line="269" w:lineRule="auto"/>
      </w:pPr>
      <w:r>
        <w:rPr>
          <w:rFonts w:ascii="Cambria" w:hAnsi="Cambria"/>
          <w:b/>
          <w:i w:val="0"/>
          <w:color w:val="1C3460"/>
          <w:sz w:val="28"/>
        </w:rPr>
        <w:t>1 · Exam format and where the grade is won</w:t>
      </w:r>
    </w:p>
    <w:p>
      <w:pPr>
        <w:spacing w:before="0" w:after="8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• </w:t>
      </w:r>
      <w:r>
        <w:rPr>
          <w:rFonts w:ascii="Calibri" w:hAnsi="Calibri"/>
          <w:b/>
          <w:i w:val="0"/>
          <w:color w:val="29457F"/>
          <w:sz w:val="22"/>
        </w:rPr>
        <w:t xml:space="preserve">Video pitch (≤ 7 min, recorded). </w:t>
      </w:r>
      <w:r>
        <w:rPr>
          <w:rFonts w:ascii="Calibri" w:hAnsi="Calibri"/>
          <w:b w:val="0"/>
          <w:i w:val="0"/>
          <w:color w:val="1B2A45"/>
          <w:sz w:val="22"/>
        </w:rPr>
        <w:t>Plays at the seminar; per the brief it conveys the project but does not score points by itself. Our deck runs ~6:45 and ends on a single core-conclusions slide. Slides are split equally across the four of us.</w:t>
      </w:r>
    </w:p>
    <w:p>
      <w:pPr>
        <w:spacing w:before="0" w:after="8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• </w:t>
      </w:r>
      <w:r>
        <w:rPr>
          <w:rFonts w:ascii="Calibri" w:hAnsi="Calibri"/>
          <w:b/>
          <w:i w:val="0"/>
          <w:color w:val="29457F"/>
          <w:sz w:val="22"/>
        </w:rPr>
        <w:t xml:space="preserve">Individual questioning (~5 min/student). </w:t>
      </w:r>
      <w:r>
        <w:rPr>
          <w:rFonts w:ascii="Calibri" w:hAnsi="Calibri"/>
          <w:b w:val="0"/>
          <w:i w:val="0"/>
          <w:color w:val="1B2A45"/>
          <w:sz w:val="22"/>
        </w:rPr>
        <w:t>THIS is where the grade is decided — each of us is examined one-to-one on the project and the plenum content. Sections 4–6 below prepare exactly this.</w:t>
      </w:r>
    </w:p>
    <w:p>
      <w:pPr>
        <w:spacing w:before="0" w:after="8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• </w:t>
      </w:r>
      <w:r>
        <w:rPr>
          <w:rFonts w:ascii="Calibri" w:hAnsi="Calibri"/>
          <w:b/>
          <w:i w:val="0"/>
          <w:color w:val="29457F"/>
          <w:sz w:val="22"/>
        </w:rPr>
        <w:t xml:space="preserve">Grade weights. </w:t>
      </w:r>
      <w:r>
        <w:rPr>
          <w:rFonts w:ascii="Calibri" w:hAnsi="Calibri"/>
          <w:b w:val="0"/>
          <w:i w:val="0"/>
          <w:color w:val="1B2A45"/>
          <w:sz w:val="22"/>
        </w:rPr>
        <w:t>Report 49%, seminar 21% (of the 70% project component). Questions focus on the project; be ready to defend every method choice.</w:t>
      </w:r>
    </w:p>
    <w:p>
      <w:pPr>
        <w:spacing w:before="280" w:after="100" w:line="269" w:lineRule="auto"/>
      </w:pPr>
      <w:r>
        <w:rPr>
          <w:rFonts w:ascii="Cambria" w:hAnsi="Cambria"/>
          <w:b/>
          <w:i w:val="0"/>
          <w:color w:val="1C3460"/>
          <w:sz w:val="28"/>
        </w:rPr>
        <w:t>2 · Speaker blocks (equal 4-way split)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val="clear" w:color="auto" w:fill="1C346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Speaker</w:t>
            </w:r>
          </w:p>
        </w:tc>
        <w:tc>
          <w:tcPr>
            <w:tcW w:type="dxa" w:w="1152"/>
            <w:shd w:val="clear" w:color="auto" w:fill="1C346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Slides</w:t>
            </w:r>
          </w:p>
        </w:tc>
        <w:tc>
          <w:tcPr>
            <w:tcW w:type="dxa" w:w="6192"/>
            <w:shd w:val="clear" w:color="auto" w:fill="1C346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Topic</w:t>
            </w:r>
          </w:p>
        </w:tc>
        <w:tc>
          <w:tcPr>
            <w:tcW w:type="dxa" w:w="1296"/>
            <w:shd w:val="clear" w:color="auto" w:fill="1C346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1728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0"/>
              </w:rPr>
              <w:t>Oskar</w:t>
            </w:r>
          </w:p>
        </w:tc>
        <w:tc>
          <w:tcPr>
            <w:tcW w:type="dxa" w:w="1152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1–3</w:t>
            </w:r>
          </w:p>
        </w:tc>
        <w:tc>
          <w:tcPr>
            <w:tcW w:type="dxa" w:w="6192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Framing: aspect (Step 1), A/B design + metric (Steps 2–3)</w:t>
            </w:r>
          </w:p>
        </w:tc>
        <w:tc>
          <w:tcPr>
            <w:tcW w:type="dxa" w:w="1296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~1:28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0"/>
              </w:rPr>
              <w:t>Matthes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4–6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Model &amp; runtime (Step 3), data (Step 4), outputs→Bernoulli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~1:42</w:t>
            </w:r>
          </w:p>
        </w:tc>
      </w:tr>
      <w:tr>
        <w:tc>
          <w:tcPr>
            <w:tcW w:type="dxa" w:w="1728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0"/>
              </w:rPr>
              <w:t>Carl Johan</w:t>
            </w:r>
          </w:p>
        </w:tc>
        <w:tc>
          <w:tcPr>
            <w:tcW w:type="dxa" w:w="1152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7–9</w:t>
            </w:r>
          </w:p>
        </w:tc>
        <w:tc>
          <w:tcPr>
            <w:tcW w:type="dxa" w:w="6192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Statistical model + matrix/GLM, tests &amp; assumptions, result</w:t>
            </w:r>
          </w:p>
        </w:tc>
        <w:tc>
          <w:tcPr>
            <w:tcW w:type="dxa" w:w="1296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~1:57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0"/>
              </w:rPr>
              <w:t>Oliver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10–12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Resampling, generalization &amp; fairness, core conclusions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~1:37</w:t>
            </w:r>
          </w:p>
        </w:tc>
      </w:tr>
    </w:tbl>
    <w:p>
      <w:pPr>
        <w:spacing w:before="80" w:after="40" w:line="269" w:lineRule="auto"/>
      </w:pPr>
      <w:r>
        <w:rPr>
          <w:rFonts w:ascii="Calibri" w:hAnsi="Calibri"/>
          <w:b w:val="0"/>
          <w:i/>
          <w:color w:val="6A7890"/>
          <w:sz w:val="20"/>
        </w:rPr>
        <w:t>Appendix A1–A4 are backup slides for the individual questioning (design matrix, test-choice table, power derivation, category/fairness detail).</w:t>
      </w:r>
    </w:p>
    <w:p>
      <w:pPr>
        <w:spacing w:before="280" w:after="100" w:line="269" w:lineRule="auto"/>
      </w:pPr>
      <w:r>
        <w:rPr>
          <w:rFonts w:ascii="Cambria" w:hAnsi="Cambria"/>
          <w:b/>
          <w:i w:val="0"/>
          <w:color w:val="1C3460"/>
          <w:sz w:val="28"/>
        </w:rPr>
        <w:t>3 · Video-pitch script (target ≈ 6:45)</w:t>
      </w:r>
    </w:p>
    <w:p>
      <w:pPr>
        <w:spacing w:before="180" w:after="20" w:line="269" w:lineRule="auto"/>
      </w:pPr>
      <w:r>
        <w:rPr>
          <w:rFonts w:ascii="Cambria" w:hAnsi="Cambria"/>
          <w:b/>
          <w:i w:val="0"/>
          <w:color w:val="1C3460"/>
          <w:sz w:val="25"/>
        </w:rPr>
        <w:t>Slide 1</w:t>
      </w:r>
      <w:r>
        <w:rPr>
          <w:rFonts w:ascii="Cambria" w:hAnsi="Cambria"/>
          <w:b w:val="0"/>
          <w:i w:val="0"/>
          <w:color w:val="1B2A45"/>
          <w:sz w:val="25"/>
        </w:rPr>
        <w:t xml:space="preserve">   ·   Title</w:t>
      </w:r>
    </w:p>
    <w:p>
      <w:pPr>
        <w:spacing w:before="0" w:after="60" w:line="269" w:lineRule="auto"/>
      </w:pPr>
      <w:r>
        <w:rPr>
          <w:rFonts w:ascii="Calibri" w:hAnsi="Calibri"/>
          <w:b/>
          <w:i w:val="0"/>
          <w:color w:val="C7672C"/>
          <w:sz w:val="19"/>
          <w:spacing w:val="20"/>
        </w:rPr>
        <w:t>OSKAR</w:t>
      </w:r>
      <w:r>
        <w:rPr>
          <w:rFonts w:ascii="Calibri" w:hAnsi="Calibri"/>
          <w:b w:val="0"/>
          <w:i w:val="0"/>
          <w:color w:val="6A7890"/>
          <w:sz w:val="19"/>
        </w:rPr>
        <w:t xml:space="preserve">   ·   0:18</w:t>
      </w:r>
    </w:p>
    <w:p>
      <w:pPr>
        <w:spacing w:before="0" w:after="60" w:line="278" w:lineRule="auto"/>
      </w:pPr>
      <w:r>
        <w:rPr>
          <w:rFonts w:ascii="Calibri" w:hAnsi="Calibri"/>
          <w:b w:val="0"/>
          <w:i w:val="0"/>
          <w:color w:val="1B2A45"/>
          <w:sz w:val="22"/>
        </w:rPr>
        <w:t>Hello — this is our 02445 evaluation project. We ask one question: does a single weight edit remove the refusal behaviour a safety benchmark measures? The whole talk is in the corner number: official compliance goes from twenty-one to seventy-seven percent.</w:t>
      </w:r>
    </w:p>
    <w:p>
      <w:pPr>
        <w:spacing w:before="180" w:after="20" w:line="269" w:lineRule="auto"/>
      </w:pPr>
      <w:r>
        <w:rPr>
          <w:rFonts w:ascii="Cambria" w:hAnsi="Cambria"/>
          <w:b/>
          <w:i w:val="0"/>
          <w:color w:val="1C3460"/>
          <w:sz w:val="25"/>
        </w:rPr>
        <w:t>Slide 2</w:t>
      </w:r>
      <w:r>
        <w:rPr>
          <w:rFonts w:ascii="Cambria" w:hAnsi="Cambria"/>
          <w:b w:val="0"/>
          <w:i w:val="0"/>
          <w:color w:val="1B2A45"/>
          <w:sz w:val="25"/>
        </w:rPr>
        <w:t xml:space="preserve">   ·   Step 1 — aspect &amp; why</w:t>
      </w:r>
    </w:p>
    <w:p>
      <w:pPr>
        <w:spacing w:before="0" w:after="60" w:line="269" w:lineRule="auto"/>
      </w:pPr>
      <w:r>
        <w:rPr>
          <w:rFonts w:ascii="Calibri" w:hAnsi="Calibri"/>
          <w:b/>
          <w:i w:val="0"/>
          <w:color w:val="C7672C"/>
          <w:sz w:val="19"/>
          <w:spacing w:val="20"/>
        </w:rPr>
        <w:t>OSKAR</w:t>
      </w:r>
      <w:r>
        <w:rPr>
          <w:rFonts w:ascii="Calibri" w:hAnsi="Calibri"/>
          <w:b w:val="0"/>
          <w:i w:val="0"/>
          <w:color w:val="6A7890"/>
          <w:sz w:val="19"/>
        </w:rPr>
        <w:t xml:space="preserve">   ·   0:32</w:t>
      </w:r>
    </w:p>
    <w:p>
      <w:pPr>
        <w:spacing w:before="0" w:after="60" w:line="278" w:lineRule="auto"/>
      </w:pPr>
      <w:r>
        <w:rPr>
          <w:rFonts w:ascii="Calibri" w:hAnsi="Calibri"/>
          <w:b w:val="0"/>
          <w:i w:val="0"/>
          <w:color w:val="1B2A45"/>
          <w:sz w:val="22"/>
        </w:rPr>
        <w:t>The aspect we evaluate is robustness — red-teaming an open-weight model's safety in weight space. It matters because open-weight models can be edited after release, so a high benchmark refusal rate only means something if it survives a cheap edit. If a post-hoc edit flips the score, the benchmark was measuring the prompt, not a robust mechanism.</w:t>
      </w:r>
    </w:p>
    <w:p>
      <w:pPr>
        <w:spacing w:before="180" w:after="20" w:line="269" w:lineRule="auto"/>
      </w:pPr>
      <w:r>
        <w:rPr>
          <w:rFonts w:ascii="Cambria" w:hAnsi="Cambria"/>
          <w:b/>
          <w:i w:val="0"/>
          <w:color w:val="1C3460"/>
          <w:sz w:val="25"/>
        </w:rPr>
        <w:t>Slide 3</w:t>
      </w:r>
      <w:r>
        <w:rPr>
          <w:rFonts w:ascii="Cambria" w:hAnsi="Cambria"/>
          <w:b w:val="0"/>
          <w:i w:val="0"/>
          <w:color w:val="1B2A45"/>
          <w:sz w:val="25"/>
        </w:rPr>
        <w:t xml:space="preserve">   ·   Steps 2–3 — A/B design + metric</w:t>
      </w:r>
    </w:p>
    <w:p>
      <w:pPr>
        <w:spacing w:before="0" w:after="60" w:line="269" w:lineRule="auto"/>
      </w:pPr>
      <w:r>
        <w:rPr>
          <w:rFonts w:ascii="Calibri" w:hAnsi="Calibri"/>
          <w:b/>
          <w:i w:val="0"/>
          <w:color w:val="C7672C"/>
          <w:sz w:val="19"/>
          <w:spacing w:val="20"/>
        </w:rPr>
        <w:t>OSKAR</w:t>
      </w:r>
      <w:r>
        <w:rPr>
          <w:rFonts w:ascii="Calibri" w:hAnsi="Calibri"/>
          <w:b w:val="0"/>
          <w:i w:val="0"/>
          <w:color w:val="6A7890"/>
          <w:sz w:val="19"/>
        </w:rPr>
        <w:t xml:space="preserve">   ·   0:38</w:t>
      </w:r>
    </w:p>
    <w:p>
      <w:pPr>
        <w:spacing w:before="0" w:after="60" w:line="278" w:lineRule="auto"/>
      </w:pPr>
      <w:r>
        <w:rPr>
          <w:rFonts w:ascii="Calibri" w:hAnsi="Calibri"/>
          <w:b w:val="0"/>
          <w:i w:val="0"/>
          <w:color w:val="1B2A45"/>
          <w:sz w:val="22"/>
        </w:rPr>
        <w:t>We set it up as a paired A/B test: arm A is the untouched model, arm B is the same checkpoint after one refusal-direction edit. Both answer the same 440 SORRY-Bench prompts under deterministic decoding, so each prompt is its own control. The metric is the official SORRY-Bench Mistral judge — an LLM-as-a-Judge — giving a binary score: zero refusal, one unsafe compliance.</w:t>
      </w:r>
    </w:p>
    <w:p>
      <w:pPr>
        <w:spacing w:before="180" w:after="20" w:line="269" w:lineRule="auto"/>
      </w:pPr>
      <w:r>
        <w:rPr>
          <w:rFonts w:ascii="Cambria" w:hAnsi="Cambria"/>
          <w:b/>
          <w:i w:val="0"/>
          <w:color w:val="1C3460"/>
          <w:sz w:val="25"/>
        </w:rPr>
        <w:t>Slide 4</w:t>
      </w:r>
      <w:r>
        <w:rPr>
          <w:rFonts w:ascii="Cambria" w:hAnsi="Cambria"/>
          <w:b w:val="0"/>
          <w:i w:val="0"/>
          <w:color w:val="1B2A45"/>
          <w:sz w:val="25"/>
        </w:rPr>
        <w:t xml:space="preserve">   ·   Step 3 — model &amp; runtime</w:t>
      </w:r>
    </w:p>
    <w:p>
      <w:pPr>
        <w:spacing w:before="0" w:after="60" w:line="269" w:lineRule="auto"/>
      </w:pPr>
      <w:r>
        <w:rPr>
          <w:rFonts w:ascii="Calibri" w:hAnsi="Calibri"/>
          <w:b/>
          <w:i w:val="0"/>
          <w:color w:val="C7672C"/>
          <w:sz w:val="19"/>
          <w:spacing w:val="20"/>
        </w:rPr>
        <w:t>MATTHES</w:t>
      </w:r>
      <w:r>
        <w:rPr>
          <w:rFonts w:ascii="Calibri" w:hAnsi="Calibri"/>
          <w:b w:val="0"/>
          <w:i w:val="0"/>
          <w:color w:val="6A7890"/>
          <w:sz w:val="19"/>
        </w:rPr>
        <w:t xml:space="preserve">   ·   0:28</w:t>
      </w:r>
    </w:p>
    <w:p>
      <w:pPr>
        <w:spacing w:before="0" w:after="60" w:line="278" w:lineRule="auto"/>
      </w:pPr>
      <w:r>
        <w:rPr>
          <w:rFonts w:ascii="Calibri" w:hAnsi="Calibri"/>
          <w:b w:val="0"/>
          <w:i w:val="0"/>
          <w:color w:val="1B2A45"/>
          <w:sz w:val="22"/>
        </w:rPr>
        <w:t>We evaluate google/gemma-4-E4B-it, open-weight and pinned to one revision. Open weights are essential — direct weight editing is impossible through a closed API. We run it locally on a rented RunPod RTX 5090; deterministic and offline, so the 440 observations stay independent and reproducible.</w:t>
      </w:r>
    </w:p>
    <w:p>
      <w:pPr>
        <w:spacing w:before="180" w:after="20" w:line="269" w:lineRule="auto"/>
      </w:pPr>
      <w:r>
        <w:rPr>
          <w:rFonts w:ascii="Cambria" w:hAnsi="Cambria"/>
          <w:b/>
          <w:i w:val="0"/>
          <w:color w:val="1C3460"/>
          <w:sz w:val="25"/>
        </w:rPr>
        <w:t>Slide 5</w:t>
      </w:r>
      <w:r>
        <w:rPr>
          <w:rFonts w:ascii="Cambria" w:hAnsi="Cambria"/>
          <w:b w:val="0"/>
          <w:i w:val="0"/>
          <w:color w:val="1B2A45"/>
          <w:sz w:val="25"/>
        </w:rPr>
        <w:t xml:space="preserve">   ·   Step 4 — data</w:t>
      </w:r>
    </w:p>
    <w:p>
      <w:pPr>
        <w:spacing w:before="0" w:after="60" w:line="269" w:lineRule="auto"/>
      </w:pPr>
      <w:r>
        <w:rPr>
          <w:rFonts w:ascii="Calibri" w:hAnsi="Calibri"/>
          <w:b/>
          <w:i w:val="0"/>
          <w:color w:val="C7672C"/>
          <w:sz w:val="19"/>
          <w:spacing w:val="20"/>
        </w:rPr>
        <w:t>MATTHES</w:t>
      </w:r>
      <w:r>
        <w:rPr>
          <w:rFonts w:ascii="Calibri" w:hAnsi="Calibri"/>
          <w:b w:val="0"/>
          <w:i w:val="0"/>
          <w:color w:val="6A7890"/>
          <w:sz w:val="19"/>
        </w:rPr>
        <w:t xml:space="preserve">   ·   0:42</w:t>
      </w:r>
    </w:p>
    <w:p>
      <w:pPr>
        <w:spacing w:before="0" w:after="60" w:line="278" w:lineRule="auto"/>
      </w:pPr>
      <w:r>
        <w:rPr>
          <w:rFonts w:ascii="Calibri" w:hAnsi="Calibri"/>
          <w:b w:val="0"/>
          <w:i w:val="0"/>
          <w:color w:val="1B2A45"/>
          <w:sz w:val="22"/>
        </w:rPr>
        <w:t>Two data sources. The benchmark is SORRY-Bench — 440 prompts across 44 harm categories — used only as an external hold-out. To fit the edit we built our own 480-prompt set from the Gemma Prohibited-Use Policy: twelve policy areas crossed with safe and unsafe labels, twenty each. They're GPT-5.5-Pro-generated and human-verified, split disjointly eight areas to four. On sample size: a power calculation gives n around 349 for a fifteen-point change, so 440 prompts give us 88 percent power.</w:t>
      </w:r>
    </w:p>
    <w:p>
      <w:pPr>
        <w:spacing w:before="180" w:after="20" w:line="269" w:lineRule="auto"/>
      </w:pPr>
      <w:r>
        <w:rPr>
          <w:rFonts w:ascii="Cambria" w:hAnsi="Cambria"/>
          <w:b/>
          <w:i w:val="0"/>
          <w:color w:val="1C3460"/>
          <w:sz w:val="25"/>
        </w:rPr>
        <w:t>Slide 6</w:t>
      </w:r>
      <w:r>
        <w:rPr>
          <w:rFonts w:ascii="Cambria" w:hAnsi="Cambria"/>
          <w:b w:val="0"/>
          <w:i w:val="0"/>
          <w:color w:val="1B2A45"/>
          <w:sz w:val="25"/>
        </w:rPr>
        <w:t xml:space="preserve">   ·   Step 4c — outputs → data</w:t>
      </w:r>
    </w:p>
    <w:p>
      <w:pPr>
        <w:spacing w:before="0" w:after="60" w:line="269" w:lineRule="auto"/>
      </w:pPr>
      <w:r>
        <w:rPr>
          <w:rFonts w:ascii="Calibri" w:hAnsi="Calibri"/>
          <w:b/>
          <w:i w:val="0"/>
          <w:color w:val="C7672C"/>
          <w:sz w:val="19"/>
          <w:spacing w:val="20"/>
        </w:rPr>
        <w:t>MATTHES</w:t>
      </w:r>
      <w:r>
        <w:rPr>
          <w:rFonts w:ascii="Calibri" w:hAnsi="Calibri"/>
          <w:b w:val="0"/>
          <w:i w:val="0"/>
          <w:color w:val="6A7890"/>
          <w:sz w:val="19"/>
        </w:rPr>
        <w:t xml:space="preserve">   ·   0:32</w:t>
      </w:r>
    </w:p>
    <w:p>
      <w:pPr>
        <w:spacing w:before="0" w:after="60" w:line="278" w:lineRule="auto"/>
      </w:pPr>
      <w:r>
        <w:rPr>
          <w:rFonts w:ascii="Calibri" w:hAnsi="Calibri"/>
          <w:b w:val="0"/>
          <w:i w:val="0"/>
          <w:color w:val="1B2A45"/>
          <w:sz w:val="22"/>
        </w:rPr>
        <w:t>The edit in one line: fit a refusal direction, unsafe-mean minus safe-mean, and remove it from every layer's weights, norm-preserving. Then we turn outputs into data: each judged answer is a Bernoulli outcome, zero or one, and deterministic decoding fixes that label. Per prompt we keep the paired outcome — baseline and edited — which is the unit of analysis.</w:t>
      </w:r>
    </w:p>
    <w:p>
      <w:pPr>
        <w:spacing w:before="180" w:after="20" w:line="269" w:lineRule="auto"/>
      </w:pPr>
      <w:r>
        <w:rPr>
          <w:rFonts w:ascii="Cambria" w:hAnsi="Cambria"/>
          <w:b/>
          <w:i w:val="0"/>
          <w:color w:val="1C3460"/>
          <w:sz w:val="25"/>
        </w:rPr>
        <w:t>Slide 7</w:t>
      </w:r>
      <w:r>
        <w:rPr>
          <w:rFonts w:ascii="Cambria" w:hAnsi="Cambria"/>
          <w:b w:val="0"/>
          <w:i w:val="0"/>
          <w:color w:val="1B2A45"/>
          <w:sz w:val="25"/>
        </w:rPr>
        <w:t xml:space="preserve">   ·   Step 5 — the statistical model</w:t>
      </w:r>
    </w:p>
    <w:p>
      <w:pPr>
        <w:spacing w:before="0" w:after="60" w:line="269" w:lineRule="auto"/>
      </w:pPr>
      <w:r>
        <w:rPr>
          <w:rFonts w:ascii="Calibri" w:hAnsi="Calibri"/>
          <w:b/>
          <w:i w:val="0"/>
          <w:color w:val="C7672C"/>
          <w:sz w:val="19"/>
          <w:spacing w:val="20"/>
        </w:rPr>
        <w:t>CARL JOHAN</w:t>
      </w:r>
      <w:r>
        <w:rPr>
          <w:rFonts w:ascii="Calibri" w:hAnsi="Calibri"/>
          <w:b w:val="0"/>
          <w:i w:val="0"/>
          <w:color w:val="6A7890"/>
          <w:sz w:val="19"/>
        </w:rPr>
        <w:t xml:space="preserve">   ·   0:42</w:t>
      </w:r>
    </w:p>
    <w:p>
      <w:pPr>
        <w:spacing w:before="0" w:after="60" w:line="278" w:lineRule="auto"/>
      </w:pPr>
      <w:r>
        <w:rPr>
          <w:rFonts w:ascii="Calibri" w:hAnsi="Calibri"/>
          <w:b w:val="0"/>
          <w:i w:val="0"/>
          <w:color w:val="1B2A45"/>
          <w:sz w:val="22"/>
        </w:rPr>
        <w:t>We write the evaluation as a model. Per prompt the signed change D is edited minus baseline, in minus-one, zero, plus-one, and the effect size is the mean of D. More generally it's a generalized linear model: logit of compliance equals a design matrix times beta, with columns for condition, category, and their interaction. Beta-one is the main edit effect — our A/B treatment effect; the interaction terms let the effect vary by category. So we have model set-up, the matrix formulation, and interactions in one place.</w:t>
      </w:r>
    </w:p>
    <w:p>
      <w:pPr>
        <w:spacing w:before="180" w:after="20" w:line="269" w:lineRule="auto"/>
      </w:pPr>
      <w:r>
        <w:rPr>
          <w:rFonts w:ascii="Cambria" w:hAnsi="Cambria"/>
          <w:b/>
          <w:i w:val="0"/>
          <w:color w:val="1C3460"/>
          <w:sz w:val="25"/>
        </w:rPr>
        <w:t>Slide 8</w:t>
      </w:r>
      <w:r>
        <w:rPr>
          <w:rFonts w:ascii="Cambria" w:hAnsi="Cambria"/>
          <w:b w:val="0"/>
          <w:i w:val="0"/>
          <w:color w:val="1B2A45"/>
          <w:sz w:val="25"/>
        </w:rPr>
        <w:t xml:space="preserve">   ·   Step 5 — tests &amp; assumptions</w:t>
      </w:r>
    </w:p>
    <w:p>
      <w:pPr>
        <w:spacing w:before="0" w:after="60" w:line="269" w:lineRule="auto"/>
      </w:pPr>
      <w:r>
        <w:rPr>
          <w:rFonts w:ascii="Calibri" w:hAnsi="Calibri"/>
          <w:b/>
          <w:i w:val="0"/>
          <w:color w:val="C7672C"/>
          <w:sz w:val="19"/>
          <w:spacing w:val="20"/>
        </w:rPr>
        <w:t>CARL JOHAN</w:t>
      </w:r>
      <w:r>
        <w:rPr>
          <w:rFonts w:ascii="Calibri" w:hAnsi="Calibri"/>
          <w:b w:val="0"/>
          <w:i w:val="0"/>
          <w:color w:val="6A7890"/>
          <w:sz w:val="19"/>
        </w:rPr>
        <w:t xml:space="preserve">   ·   0:42</w:t>
      </w:r>
    </w:p>
    <w:p>
      <w:pPr>
        <w:spacing w:before="0" w:after="60" w:line="278" w:lineRule="auto"/>
      </w:pPr>
      <w:r>
        <w:rPr>
          <w:rFonts w:ascii="Calibri" w:hAnsi="Calibri"/>
          <w:b w:val="0"/>
          <w:i w:val="0"/>
          <w:color w:val="1B2A45"/>
          <w:sz w:val="22"/>
        </w:rPr>
        <w:t>We use both families. Parametric: a normal-approximation confidence interval for the paired difference, and Wilson intervals per arm because the rates are near zero and one. Exact and non-parametric: McNemar's exact binomial test on the discordant pairs, plus a category-clustered bootstrap. Assumptions: prompts are only approximately independent — ten share each category — so we check with the clustered bootstrap; the outcome is Bernoulli; deterministic decoding removes sampling noise. The point is that all three approaches agree.</w:t>
      </w:r>
    </w:p>
    <w:p>
      <w:pPr>
        <w:spacing w:before="180" w:after="20" w:line="269" w:lineRule="auto"/>
      </w:pPr>
      <w:r>
        <w:rPr>
          <w:rFonts w:ascii="Cambria" w:hAnsi="Cambria"/>
          <w:b/>
          <w:i w:val="0"/>
          <w:color w:val="1C3460"/>
          <w:sz w:val="25"/>
        </w:rPr>
        <w:t>Slide 9</w:t>
      </w:r>
      <w:r>
        <w:rPr>
          <w:rFonts w:ascii="Cambria" w:hAnsi="Cambria"/>
          <w:b w:val="0"/>
          <w:i w:val="0"/>
          <w:color w:val="1B2A45"/>
          <w:sz w:val="25"/>
        </w:rPr>
        <w:t xml:space="preserve">   ·   Step 5 — result</w:t>
      </w:r>
    </w:p>
    <w:p>
      <w:pPr>
        <w:spacing w:before="0" w:after="60" w:line="269" w:lineRule="auto"/>
      </w:pPr>
      <w:r>
        <w:rPr>
          <w:rFonts w:ascii="Calibri" w:hAnsi="Calibri"/>
          <w:b/>
          <w:i w:val="0"/>
          <w:color w:val="C7672C"/>
          <w:sz w:val="19"/>
          <w:spacing w:val="20"/>
        </w:rPr>
        <w:t>CARL JOHAN</w:t>
      </w:r>
      <w:r>
        <w:rPr>
          <w:rFonts w:ascii="Calibri" w:hAnsi="Calibri"/>
          <w:b w:val="0"/>
          <w:i w:val="0"/>
          <w:color w:val="6A7890"/>
          <w:sz w:val="19"/>
        </w:rPr>
        <w:t xml:space="preserve">   ·   0:33</w:t>
      </w:r>
    </w:p>
    <w:p>
      <w:pPr>
        <w:spacing w:before="0" w:after="60" w:line="278" w:lineRule="auto"/>
      </w:pPr>
      <w:r>
        <w:rPr>
          <w:rFonts w:ascii="Calibri" w:hAnsi="Calibri"/>
          <w:b w:val="0"/>
          <w:i w:val="0"/>
          <w:color w:val="1B2A45"/>
          <w:sz w:val="22"/>
        </w:rPr>
        <w:t>The result: baseline complies on 21.4 percent of prompts, the edited model on 76.6 — a paired increase of 55.2 points, 95 percent interval 50 to 60, McNemar p around ten-to-the-minus-sixty-eight. Same model, one deterministic edit.</w:t>
      </w:r>
    </w:p>
    <w:p>
      <w:pPr>
        <w:spacing w:before="180" w:after="20" w:line="269" w:lineRule="auto"/>
      </w:pPr>
      <w:r>
        <w:rPr>
          <w:rFonts w:ascii="Cambria" w:hAnsi="Cambria"/>
          <w:b/>
          <w:i w:val="0"/>
          <w:color w:val="1C3460"/>
          <w:sz w:val="25"/>
        </w:rPr>
        <w:t>Slide 10</w:t>
      </w:r>
      <w:r>
        <w:rPr>
          <w:rFonts w:ascii="Cambria" w:hAnsi="Cambria"/>
          <w:b w:val="0"/>
          <w:i w:val="0"/>
          <w:color w:val="1B2A45"/>
          <w:sz w:val="25"/>
        </w:rPr>
        <w:t xml:space="preserve">   ·   Resampling &amp; robustness</w:t>
      </w:r>
    </w:p>
    <w:p>
      <w:pPr>
        <w:spacing w:before="0" w:after="60" w:line="269" w:lineRule="auto"/>
      </w:pPr>
      <w:r>
        <w:rPr>
          <w:rFonts w:ascii="Calibri" w:hAnsi="Calibri"/>
          <w:b/>
          <w:i w:val="0"/>
          <w:color w:val="C7672C"/>
          <w:sz w:val="19"/>
          <w:spacing w:val="20"/>
        </w:rPr>
        <w:t>OLIVER</w:t>
      </w:r>
      <w:r>
        <w:rPr>
          <w:rFonts w:ascii="Calibri" w:hAnsi="Calibri"/>
          <w:b w:val="0"/>
          <w:i w:val="0"/>
          <w:color w:val="6A7890"/>
          <w:sz w:val="19"/>
        </w:rPr>
        <w:t xml:space="preserve">   ·   0:35</w:t>
      </w:r>
    </w:p>
    <w:p>
      <w:pPr>
        <w:spacing w:before="0" w:after="60" w:line="278" w:lineRule="auto"/>
      </w:pPr>
      <w:r>
        <w:rPr>
          <w:rFonts w:ascii="Calibri" w:hAnsi="Calibri"/>
          <w:b w:val="0"/>
          <w:i w:val="0"/>
          <w:color w:val="1B2A45"/>
          <w:sz w:val="22"/>
        </w:rPr>
        <w:t>Resampling confirms it. The clustered bootstrap — twenty thousand resamples of whole categories — gives a wider interval, 47 to 63, still far from zero. The paired table shows why: 247 prompts flip from refusal to compliance and only four flip back. Dropping the eight length-capped answers still gives 56 points, so it's not an artefact.</w:t>
      </w:r>
    </w:p>
    <w:p>
      <w:pPr>
        <w:spacing w:before="180" w:after="20" w:line="269" w:lineRule="auto"/>
      </w:pPr>
      <w:r>
        <w:rPr>
          <w:rFonts w:ascii="Cambria" w:hAnsi="Cambria"/>
          <w:b/>
          <w:i w:val="0"/>
          <w:color w:val="1C3460"/>
          <w:sz w:val="25"/>
        </w:rPr>
        <w:t>Slide 11</w:t>
      </w:r>
      <w:r>
        <w:rPr>
          <w:rFonts w:ascii="Cambria" w:hAnsi="Cambria"/>
          <w:b w:val="0"/>
          <w:i w:val="0"/>
          <w:color w:val="1B2A45"/>
          <w:sz w:val="25"/>
        </w:rPr>
        <w:t xml:space="preserve">   ·   Generalization &amp; fairness</w:t>
      </w:r>
    </w:p>
    <w:p>
      <w:pPr>
        <w:spacing w:before="0" w:after="60" w:line="269" w:lineRule="auto"/>
      </w:pPr>
      <w:r>
        <w:rPr>
          <w:rFonts w:ascii="Calibri" w:hAnsi="Calibri"/>
          <w:b/>
          <w:i w:val="0"/>
          <w:color w:val="C7672C"/>
          <w:sz w:val="19"/>
          <w:spacing w:val="20"/>
        </w:rPr>
        <w:t>OLIVER</w:t>
      </w:r>
      <w:r>
        <w:rPr>
          <w:rFonts w:ascii="Calibri" w:hAnsi="Calibri"/>
          <w:b w:val="0"/>
          <w:i w:val="0"/>
          <w:color w:val="6A7890"/>
          <w:sz w:val="19"/>
        </w:rPr>
        <w:t xml:space="preserve">   ·   0:40</w:t>
      </w:r>
    </w:p>
    <w:p>
      <w:pPr>
        <w:spacing w:before="0" w:after="60" w:line="278" w:lineRule="auto"/>
      </w:pPr>
      <w:r>
        <w:rPr>
          <w:rFonts w:ascii="Calibri" w:hAnsi="Calibri"/>
          <w:b w:val="0"/>
          <w:i w:val="0"/>
          <w:color w:val="1B2A45"/>
          <w:sz w:val="22"/>
        </w:rPr>
        <w:t>Two final checks. Generalization: the fitted direction is stable across held-out policy areas — median cosine 0.95 to 0.97 over five random splits per budget, a cross-validation-style check — and SORRY-Bench is a fully external hold-out. And a fairness lens: treating the 44 categories as subgroups, the change isn't uniform — residual refusals concentrate in child-related crimes, PII and harassment, so safety coverage differs across harm types.</w:t>
      </w:r>
    </w:p>
    <w:p>
      <w:pPr>
        <w:spacing w:before="180" w:after="20" w:line="269" w:lineRule="auto"/>
      </w:pPr>
      <w:r>
        <w:rPr>
          <w:rFonts w:ascii="Cambria" w:hAnsi="Cambria"/>
          <w:b/>
          <w:i w:val="0"/>
          <w:color w:val="1C3460"/>
          <w:sz w:val="25"/>
        </w:rPr>
        <w:t>Slide 12</w:t>
      </w:r>
      <w:r>
        <w:rPr>
          <w:rFonts w:ascii="Cambria" w:hAnsi="Cambria"/>
          <w:b w:val="0"/>
          <w:i w:val="0"/>
          <w:color w:val="1B2A45"/>
          <w:sz w:val="25"/>
        </w:rPr>
        <w:t xml:space="preserve">   ·   Core conclusions</w:t>
      </w:r>
    </w:p>
    <w:p>
      <w:pPr>
        <w:spacing w:before="0" w:after="60" w:line="269" w:lineRule="auto"/>
      </w:pPr>
      <w:r>
        <w:rPr>
          <w:rFonts w:ascii="Calibri" w:hAnsi="Calibri"/>
          <w:b/>
          <w:i w:val="0"/>
          <w:color w:val="C7672C"/>
          <w:sz w:val="19"/>
          <w:spacing w:val="20"/>
        </w:rPr>
        <w:t>OLIVER</w:t>
      </w:r>
      <w:r>
        <w:rPr>
          <w:rFonts w:ascii="Calibri" w:hAnsi="Calibri"/>
          <w:b w:val="0"/>
          <w:i w:val="0"/>
          <w:color w:val="6A7890"/>
          <w:sz w:val="19"/>
        </w:rPr>
        <w:t xml:space="preserve">   ·   0:22</w:t>
      </w:r>
    </w:p>
    <w:p>
      <w:pPr>
        <w:spacing w:before="0" w:after="60" w:line="278" w:lineRule="auto"/>
      </w:pPr>
      <w:r>
        <w:rPr>
          <w:rFonts w:ascii="Calibri" w:hAnsi="Calibri"/>
          <w:b w:val="0"/>
          <w:i w:val="0"/>
          <w:color w:val="1B2A45"/>
          <w:sz w:val="22"/>
        </w:rPr>
        <w:t>To conclude: one edit removes most benchmark refusal, parametric, exact and bootstrap inference all agree, but it's a benchmark-specific change with uneven coverage. The lesson: static refusal rates don't capture robustness for open-weight models. Code and data are in the repo — thank you.</w:t>
      </w:r>
    </w:p>
    <w:p>
      <w:r>
        <w:br w:type="page"/>
      </w:r>
    </w:p>
    <w:p>
      <w:pPr>
        <w:spacing w:before="40" w:after="100" w:line="269" w:lineRule="auto"/>
      </w:pPr>
      <w:r>
        <w:rPr>
          <w:rFonts w:ascii="Cambria" w:hAnsi="Cambria"/>
          <w:b/>
          <w:i w:val="0"/>
          <w:color w:val="1C3460"/>
          <w:sz w:val="28"/>
        </w:rPr>
        <w:t>4 · Rubric Step coverage (Steps 1–5)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864"/>
            <w:shd w:val="clear" w:color="auto" w:fill="1C346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3744"/>
            <w:shd w:val="clear" w:color="auto" w:fill="1C346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8064"/>
            <w:shd w:val="clear" w:color="auto" w:fill="1C346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Where &amp; what we show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2"/>
              </w:rPr>
              <w:t>1</w:t>
            </w:r>
          </w:p>
        </w:tc>
        <w:tc>
          <w:tcPr>
            <w:tcW w:type="dxa" w:w="3744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Which aspect &amp; why</w:t>
            </w:r>
          </w:p>
        </w:tc>
        <w:tc>
          <w:tcPr>
            <w:tcW w:type="dxa" w:w="8064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Robustness / red-teaming of open-weight refusal; validity of static safety benchmarks (slide 2).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2"/>
              </w:rPr>
              <w:t>2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Metric</w:t>
            </w:r>
          </w:p>
        </w:tc>
        <w:tc>
          <w:tcPr>
            <w:tcW w:type="dxa" w:w="806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Official SORRY-Bench Mistral judge = LLM-as-a-Judge; binary 0/1; 40-output audit (slide 3).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2"/>
              </w:rPr>
              <w:t>3</w:t>
            </w:r>
          </w:p>
        </w:tc>
        <w:tc>
          <w:tcPr>
            <w:tcW w:type="dxa" w:w="3744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Model choice + runtime</w:t>
            </w:r>
          </w:p>
        </w:tc>
        <w:tc>
          <w:tcPr>
            <w:tcW w:type="dxa" w:w="8064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Open-weight gemma-4-E4B-it on RunPod RTX 5090; offline, deterministic, independent (slide 4).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2"/>
              </w:rPr>
              <w:t>4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Data + sample size</w:t>
            </w:r>
          </w:p>
        </w:tc>
        <w:tc>
          <w:tcPr>
            <w:tcW w:type="dxa" w:w="806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SORRY-Bench benchmark + self-curated 480 set; factors of variation; power n≈349→88.2% (slides 5–6).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2"/>
              </w:rPr>
              <w:t>5</w:t>
            </w:r>
          </w:p>
        </w:tc>
        <w:tc>
          <w:tcPr>
            <w:tcW w:type="dxa" w:w="3744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Results: qualitative + quantitative + stability</w:t>
            </w:r>
          </w:p>
        </w:tc>
        <w:tc>
          <w:tcPr>
            <w:tcW w:type="dxa" w:w="8064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20"/>
              </w:rPr>
              <w:t>Category plots + paired tests, assumptions, CIs, bootstrap uncertainty (slides 7–11, A1–A4).</w:t>
            </w:r>
          </w:p>
        </w:tc>
      </w:tr>
    </w:tbl>
    <w:p>
      <w:pPr>
        <w:spacing w:before="280" w:after="100" w:line="269" w:lineRule="auto"/>
      </w:pPr>
      <w:r>
        <w:rPr>
          <w:rFonts w:ascii="Cambria" w:hAnsi="Cambria"/>
          <w:b/>
          <w:i w:val="0"/>
          <w:color w:val="1C3460"/>
          <w:sz w:val="28"/>
        </w:rPr>
        <w:t>5 · Learning-objective coverage map</w:t>
      </w:r>
    </w:p>
    <w:p>
      <w:pPr>
        <w:spacing w:before="0" w:after="100" w:line="269" w:lineRule="auto"/>
      </w:pPr>
      <w:r>
        <w:rPr>
          <w:rFonts w:ascii="Calibri" w:hAnsi="Calibri"/>
          <w:b w:val="0"/>
          <w:i/>
          <w:color w:val="6A7890"/>
          <w:sz w:val="20"/>
        </w:rPr>
        <w:t>Each course learning objective, where we demonstrate it, and the one-line evidence. Use this to steer answers in the individual questioning.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5040"/>
            <w:shd w:val="clear" w:color="auto" w:fill="1C346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Learning objective</w:t>
            </w:r>
          </w:p>
        </w:tc>
        <w:tc>
          <w:tcPr>
            <w:tcW w:type="dxa" w:w="1728"/>
            <w:shd w:val="clear" w:color="auto" w:fill="1C346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Where</w:t>
            </w:r>
          </w:p>
        </w:tc>
        <w:tc>
          <w:tcPr>
            <w:tcW w:type="dxa" w:w="5904"/>
            <w:shd w:val="clear" w:color="auto" w:fill="1C346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5040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0"/>
              </w:rPr>
              <w:t>Set up appropriate statistical models for AI evaluation</w:t>
            </w:r>
          </w:p>
        </w:tc>
        <w:tc>
          <w:tcPr>
            <w:tcW w:type="dxa" w:w="1728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S3, S7, A1</w:t>
            </w:r>
          </w:p>
        </w:tc>
        <w:tc>
          <w:tcPr>
            <w:tcW w:type="dxa" w:w="5904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Paired A/B + GLM for SORRY-Bench compliance.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0"/>
              </w:rPr>
              <w:t>Matrix formulation of simple models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S7, A1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η = Xβ; design matrix with condition/category/interaction.</w:t>
            </w:r>
          </w:p>
        </w:tc>
      </w:tr>
      <w:tr>
        <w:tc>
          <w:tcPr>
            <w:tcW w:type="dxa" w:w="5040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0"/>
              </w:rPr>
              <w:t>Test for interaction effects</w:t>
            </w:r>
          </w:p>
        </w:tc>
        <w:tc>
          <w:tcPr>
            <w:tcW w:type="dxa" w:w="1728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S7, A1, A4</w:t>
            </w:r>
          </w:p>
        </w:tc>
        <w:tc>
          <w:tcPr>
            <w:tcW w:type="dxa" w:w="5904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condition×category term; category-level effect varies 0→100 pp.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0"/>
              </w:rPr>
              <w:t>Understand &amp; discuss model assumptions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S8, A2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Independence, Bernoulli, near-0/1, exchangeability — and the checks.</w:t>
            </w:r>
          </w:p>
        </w:tc>
      </w:tr>
      <w:tr>
        <w:tc>
          <w:tcPr>
            <w:tcW w:type="dxa" w:w="5040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0"/>
              </w:rPr>
              <w:t>Parametric and non-parametric tests</w:t>
            </w:r>
          </w:p>
        </w:tc>
        <w:tc>
          <w:tcPr>
            <w:tcW w:type="dxa" w:w="1728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S8, A2</w:t>
            </w:r>
          </w:p>
        </w:tc>
        <w:tc>
          <w:tcPr>
            <w:tcW w:type="dxa" w:w="5904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Normal-approx CI + Wilson (param.); McNemar exact + bootstrap (non-param.).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0"/>
              </w:rPr>
              <w:t>Estimation, hypothesis test, prediction w/ software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S8–S9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Δ estimate, McNemar, CIs in Python; GLM predicts per-category compliance.</w:t>
            </w:r>
          </w:p>
        </w:tc>
      </w:tr>
      <w:tr>
        <w:tc>
          <w:tcPr>
            <w:tcW w:type="dxa" w:w="5040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0"/>
              </w:rPr>
              <w:t>Evaluate estimates for model generalization</w:t>
            </w:r>
          </w:p>
        </w:tc>
        <w:tc>
          <w:tcPr>
            <w:tcW w:type="dxa" w:w="1728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S11, S5</w:t>
            </w:r>
          </w:p>
        </w:tc>
        <w:tc>
          <w:tcPr>
            <w:tcW w:type="dxa" w:w="5904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Disjoint hold-out areas, 5-split CV-style stability, external benchmark.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0"/>
              </w:rPr>
              <w:t>Set up &amp; evaluate A/B tests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S3 (whole study)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Paired within-subject A/B: baseline vs edited on identical prompts.</w:t>
            </w:r>
          </w:p>
        </w:tc>
      </w:tr>
      <w:tr>
        <w:tc>
          <w:tcPr>
            <w:tcW w:type="dxa" w:w="5040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0"/>
              </w:rPr>
              <w:t>Apply resampling methods</w:t>
            </w:r>
          </w:p>
        </w:tc>
        <w:tc>
          <w:tcPr>
            <w:tcW w:type="dxa" w:w="1728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S10, A2</w:t>
            </w:r>
          </w:p>
        </w:tc>
        <w:tc>
          <w:tcPr>
            <w:tcW w:type="dxa" w:w="5904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Category-clustered bootstrap, 20,000 replicates, seed 2445.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0"/>
              </w:rPr>
              <w:t>Bias &amp; fairness measures in AI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S11, A4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Category subgroups; uneven safety coverage; child-content handling.</w:t>
            </w:r>
          </w:p>
        </w:tc>
      </w:tr>
      <w:tr>
        <w:tc>
          <w:tcPr>
            <w:tcW w:type="dxa" w:w="5040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0"/>
              </w:rPr>
              <w:t>Interpret statistical-software output</w:t>
            </w:r>
          </w:p>
        </w:tc>
        <w:tc>
          <w:tcPr>
            <w:tcW w:type="dxa" w:w="1728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S8–S10</w:t>
            </w:r>
          </w:p>
        </w:tc>
        <w:tc>
          <w:tcPr>
            <w:tcW w:type="dxa" w:w="5904"/>
            <w:shd w:val="clear" w:color="auto" w:fill="F2F6FC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Reading CIs, p-values, bootstrap distribution, Wilson error bars.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29457F"/>
                <w:sz w:val="20"/>
              </w:rPr>
              <w:t>Communicate results to a non-statistical audience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Pitch + report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B2A45"/>
                <w:sz w:val="19"/>
              </w:rPr>
              <w:t>Plain-language framing; single core-conclusions slide.</w:t>
            </w:r>
          </w:p>
        </w:tc>
      </w:tr>
    </w:tbl>
    <w:p>
      <w:r>
        <w:br w:type="page"/>
      </w:r>
    </w:p>
    <w:p>
      <w:pPr>
        <w:spacing w:before="40" w:after="100" w:line="269" w:lineRule="auto"/>
      </w:pPr>
      <w:r>
        <w:rPr>
          <w:rFonts w:ascii="Cambria" w:hAnsi="Cambria"/>
          <w:b/>
          <w:i w:val="0"/>
          <w:color w:val="1C3460"/>
          <w:sz w:val="28"/>
        </w:rPr>
        <w:t>6 · Individual-questioning Q&amp;A bank (by competency)</w:t>
      </w:r>
    </w:p>
    <w:p>
      <w:pPr>
        <w:spacing w:before="0" w:after="120" w:line="269" w:lineRule="auto"/>
      </w:pPr>
      <w:r>
        <w:rPr>
          <w:rFonts w:ascii="Calibri" w:hAnsi="Calibri"/>
          <w:b w:val="0"/>
          <w:i/>
          <w:color w:val="6A7890"/>
          <w:sz w:val="20"/>
        </w:rPr>
        <w:t>Likely one-to-one questions with strong, concise answers. Everyone should know the headline numbers (21.4→76.6%, +55.2 pp, 247 vs 4, p≈9×10⁻⁶⁸) and the assumptions cold.</w:t>
      </w:r>
    </w:p>
    <w:p>
      <w:pPr>
        <w:spacing w:before="180" w:after="60" w:line="269" w:lineRule="auto"/>
      </w:pPr>
      <w:r>
        <w:rPr>
          <w:rFonts w:ascii="Cambria" w:hAnsi="Cambria"/>
          <w:b/>
          <w:i w:val="0"/>
          <w:color w:val="29457F"/>
          <w:sz w:val="24"/>
        </w:rPr>
        <w:t>A/B test &amp; design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Why is this an A/B test, and why paired?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Two arms — untouched (A) vs edited (B) — evaluated on identical inputs. It's paired/within-subject because every prompt is answered by both models, so prompt difficulty, category mix and judge wording are held fixed. Pairing removes between-prompt variance and lets us analyse within-pair differences directly.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What is the unit of analysis and the population?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The unit is the prompt, contributing a paired outcome (Y_baseline, Y_edited) over 440 SORRY-Bench prompts. The population is SORRY-Bench harm prompts as scored by the official judge — we're explicit that conclusions are benchmark-specific.</w:t>
      </w:r>
    </w:p>
    <w:p>
      <w:pPr>
        <w:spacing w:before="180" w:after="60" w:line="269" w:lineRule="auto"/>
      </w:pPr>
      <w:r>
        <w:rPr>
          <w:rFonts w:ascii="Cambria" w:hAnsi="Cambria"/>
          <w:b/>
          <w:i w:val="0"/>
          <w:color w:val="29457F"/>
          <w:sz w:val="24"/>
        </w:rPr>
        <w:t>Statistical model, matrix form &amp; interactions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Write down your statistical model.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logit P(Yᵢ=1) = β₀ + β₁·edited + Σγ_c·catᵢ + Σδ_c·(edited×catᵢ). β₁ is the edit effect; a linear-probability version gives β₁ = Δ directly. McNemar/Δ are the focused, assumption-light version of β₁.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Where is the matrix formulation?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η = Xβ. X has 880 rows (prompt×condition) and columns: intercept, condition indicator, 43 category dummies, and condition×category. Paired rows share category dummies; only the condition columns flip (appendix A1).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What interaction did you test, and what did you find?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Condition×category. The category-level plot IS that interaction: the edit effect ranges from ~0 to +100 pp across categories. With only 10 prompts/category we treat it as exploratory error analysis, not 44 confirmatory tests.</w:t>
      </w:r>
    </w:p>
    <w:p>
      <w:pPr>
        <w:spacing w:before="180" w:after="60" w:line="269" w:lineRule="auto"/>
      </w:pPr>
      <w:r>
        <w:rPr>
          <w:rFonts w:ascii="Cambria" w:hAnsi="Cambria"/>
          <w:b/>
          <w:i w:val="0"/>
          <w:color w:val="29457F"/>
          <w:sz w:val="24"/>
        </w:rPr>
        <w:t>Assumptions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What are your assumptions and do they hold?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Independence of prompts (only approximate — 10 share each category, so we add a category-clustered bootstrap); binary outcome modelled as Bernoulli; deterministic decoding removes within-pair sampling noise; rates near 0/1 so we use Wilson/exact, not a naive normal interval; McNemar needs the discordant pairs exchangeable under H₀.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Is prompt independence realistic?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Not perfectly — SORRY-Bench is structured in blocks of 10. That's precisely why we report a category-clustered bootstrap that resamples whole categories; it widens the CI (47–63 vs 50–60) but stays far from zero, so clustering doesn't change the conclusion.</w:t>
      </w:r>
    </w:p>
    <w:p>
      <w:pPr>
        <w:spacing w:before="180" w:after="60" w:line="269" w:lineRule="auto"/>
      </w:pPr>
      <w:r>
        <w:rPr>
          <w:rFonts w:ascii="Cambria" w:hAnsi="Cambria"/>
          <w:b/>
          <w:i w:val="0"/>
          <w:color w:val="29457F"/>
          <w:sz w:val="24"/>
        </w:rPr>
        <w:t>Tests: parametric vs non-parametric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Why McNemar rather than a paired t-test or a chi-square?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The data are paired and binary. McNemar is the paired test for binary outcomes — it uses only the discordant pairs. An ordinary chi-square assumes two independent samples, which pairing violates; a paired t-test on the {−1,0,1} differences is essentially the normal-approximation CI we already report.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Give one parametric and one non-parametric result and say why both.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Parametric: normal-approx 95% CI for Δ = [50.4, 60.0]. Non-parametric/exact: McNemar p ≈ 9×10⁻⁶⁸ and a bootstrap CI [47.3, 63.0]. We report both because the parametric CI is interpretable while the exact test makes no large-sample assumption — and they agree.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Could you have used a permutation test?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Yes. McNemar's exact test is the exact/combinatorial version — a binomial on the discordant pairs under p=0.5. A label-permutation test that swaps the condition within each pair gives an equivalent null distribution for Δ.</w:t>
      </w:r>
    </w:p>
    <w:p>
      <w:pPr>
        <w:spacing w:before="180" w:after="60" w:line="269" w:lineRule="auto"/>
      </w:pPr>
      <w:r>
        <w:rPr>
          <w:rFonts w:ascii="Cambria" w:hAnsi="Cambria"/>
          <w:b/>
          <w:i w:val="0"/>
          <w:color w:val="29457F"/>
          <w:sz w:val="24"/>
        </w:rPr>
        <w:t>Estimation, software &amp; p-values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How did you compute the confidence intervals?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The paired SE of Dᵢ for the normal-approx CI; Wilson intervals per arm; and a percentile interval from the clustered bootstrap. All in Python (numpy/scipy).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Interpret the p-value.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Under H₀ that flips are equally likely in both directions, the chance of data this extreme is ≈ 9×10⁻⁶⁸. But the p-value is secondary — with this n almost anything is significant; the effect size (+55.2 pp) is the headline.</w:t>
      </w:r>
    </w:p>
    <w:p>
      <w:pPr>
        <w:spacing w:before="180" w:after="60" w:line="269" w:lineRule="auto"/>
      </w:pPr>
      <w:r>
        <w:rPr>
          <w:rFonts w:ascii="Cambria" w:hAnsi="Cambria"/>
          <w:b/>
          <w:i w:val="0"/>
          <w:color w:val="29457F"/>
          <w:sz w:val="24"/>
        </w:rPr>
        <w:t>Generalization (hold-out &amp; cross-validation)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How did you assess generalization?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Three ways: (1) policy-area-disjoint hold-out — fit on 8 areas, compare the direction to one fit on 4 held-out areas; (2) repeated random splits, 5 per budget — a cross-validation-style stability check (cosine 0.95–0.97); (3) SORRY-Bench is a fully external benchmark never used in fitting.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Isn't fitting a direction then testing it leakage?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Not for the main result — construction data and SORRY-Bench are disjoint and the benchmark is never used to fit. The exploratory second-direction follow-up WOULD be leakage because it uses evaluation outcomes, so we report that strictly as error analysis, not a confirmatory result.</w:t>
      </w:r>
    </w:p>
    <w:p>
      <w:pPr>
        <w:spacing w:before="180" w:after="60" w:line="269" w:lineRule="auto"/>
      </w:pPr>
      <w:r>
        <w:rPr>
          <w:rFonts w:ascii="Cambria" w:hAnsi="Cambria"/>
          <w:b/>
          <w:i w:val="0"/>
          <w:color w:val="29457F"/>
          <w:sz w:val="24"/>
        </w:rPr>
        <w:t>Resampling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Describe your bootstrap and why it's clustered.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Category-clustered: 20,000 replicates, seed 2445; resample the 44 categories with replacement, keeping all 10 pairs in a sampled category together, then recompute Δ → percentile CI [47.3, 63.0]. A prompt-level bootstrap would assume independence and understate uncertainty; clustering respects the category structure.</w:t>
      </w:r>
    </w:p>
    <w:p>
      <w:pPr>
        <w:spacing w:before="180" w:after="60" w:line="269" w:lineRule="auto"/>
      </w:pPr>
      <w:r>
        <w:rPr>
          <w:rFonts w:ascii="Cambria" w:hAnsi="Cambria"/>
          <w:b/>
          <w:i w:val="0"/>
          <w:color w:val="29457F"/>
          <w:sz w:val="24"/>
        </w:rPr>
        <w:t>Bias &amp; fairness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This is robustness — where is bias/fairness?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We disaggregate by the 44 harm categories as subgroups and ask whether the safety change is uniform. It isn't: residual refusals concentrate in child-related crimes, PII and harassment, so post-edit safety coverage is unequal across harm types — a fairness-of-coverage finding. We also excluded child-related content from construction for responsible data handling.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With 44 categories, what about multiple comparisons?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Exactly why the category analysis is framed as exploratory error analysis, not 44 hypothesis tests — with 10 prompts each they'd be underpowered and inflate false positives. The single aggregate Δ is the confirmatory claim.</w:t>
      </w:r>
    </w:p>
    <w:p>
      <w:pPr>
        <w:spacing w:before="180" w:after="60" w:line="269" w:lineRule="auto"/>
      </w:pPr>
      <w:r>
        <w:rPr>
          <w:rFonts w:ascii="Cambria" w:hAnsi="Cambria"/>
          <w:b/>
          <w:i w:val="0"/>
          <w:color w:val="29457F"/>
          <w:sz w:val="24"/>
        </w:rPr>
        <w:t>Sample size, metric &amp; model choice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How did you decide how many prompts to use?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Power calculation: n = (σ·(z₁₋β+z₁₋α/2)/Δ)², with σ=1 (conservative, D∈[−1,1]), Δ=0.15, 80% power → n≈349. SORRY-Bench is fixed at 440 → 88.2% power; the observed 55.2 pp is far above the 15 pp target.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Is the LLM-as-a-Judge valid?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It's the official SORRY-Bench fine-tuned Mistral judge — reproducible and standard, but coarse and binary. We audited 40 outputs: labels were reasonable for 36/40. Some score-1 answers still carry disclaimers, so we read 76.6% as judged compliance, not maximal harm.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Why Gemma, and did you need a GPU?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Open weights let us edit the model directly — impossible via a closed API. We ran it offline on a RunPod RTX 5090; deterministic and offline means independent, reproducible samples.</w:t>
      </w:r>
    </w:p>
    <w:p>
      <w:pPr>
        <w:spacing w:before="180" w:after="60" w:line="269" w:lineRule="auto"/>
      </w:pPr>
      <w:r>
        <w:rPr>
          <w:rFonts w:ascii="Cambria" w:hAnsi="Cambria"/>
          <w:b/>
          <w:i w:val="0"/>
          <w:color w:val="29457F"/>
          <w:sz w:val="24"/>
        </w:rPr>
        <w:t>Project-specific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What about the eight length-capped generations?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All eight were in the baseline arm. A sensitivity analysis dropping them still gives +56.0 pp — same conclusion.</w:t>
      </w:r>
    </w:p>
    <w:p>
      <w:pPr>
        <w:spacing w:before="60" w:after="20" w:line="269" w:lineRule="auto"/>
      </w:pPr>
      <w:r>
        <w:rPr>
          <w:rFonts w:ascii="Calibri" w:hAnsi="Calibri"/>
          <w:b/>
          <w:i w:val="0"/>
          <w:color w:val="C7672C"/>
          <w:sz w:val="22"/>
        </w:rPr>
        <w:t xml:space="preserve">Q.  </w:t>
      </w:r>
      <w:r>
        <w:rPr>
          <w:rFonts w:ascii="Calibri" w:hAnsi="Calibri"/>
          <w:b/>
          <w:i w:val="0"/>
          <w:color w:val="29457F"/>
          <w:sz w:val="22"/>
        </w:rPr>
        <w:t>Child-related crimes were excluded from construction yet rose ~30 pp — explain.</w:t>
      </w:r>
    </w:p>
    <w:p>
      <w:pPr>
        <w:spacing w:before="0" w:after="60" w:line="278" w:lineRule="auto"/>
      </w:pPr>
      <w:r>
        <w:rPr>
          <w:rFonts w:ascii="Calibri" w:hAnsi="Calibri"/>
          <w:b/>
          <w:i w:val="0"/>
          <w:color w:val="6A7890"/>
          <w:sz w:val="22"/>
        </w:rPr>
        <w:t xml:space="preserve">A.  </w:t>
      </w:r>
      <w:r>
        <w:rPr>
          <w:rFonts w:ascii="Calibri" w:hAnsi="Calibri"/>
          <w:b w:val="0"/>
          <w:i w:val="0"/>
          <w:color w:val="1B2A45"/>
          <w:sz w:val="22"/>
        </w:rPr>
        <w:t>Excluded only from the data we used to fit the edit, for responsible handling; SORRY-Bench still tests the category. The rise shows the fitted direction generalises beyond the categories it was built from — consistent with a shared refusal signal.</w:t>
      </w:r>
    </w:p>
    <w:p>
      <w:r>
        <w:br w:type="page"/>
      </w:r>
    </w:p>
    <w:p>
      <w:pPr>
        <w:spacing w:before="40" w:after="100" w:line="269" w:lineRule="auto"/>
      </w:pPr>
      <w:r>
        <w:rPr>
          <w:rFonts w:ascii="Cambria" w:hAnsi="Cambria"/>
          <w:b/>
          <w:i w:val="0"/>
          <w:color w:val="1C3460"/>
          <w:sz w:val="28"/>
        </w:rPr>
        <w:t>7 · Per-student focus for the one-to-one round</w:t>
      </w:r>
    </w:p>
    <w:p>
      <w:pPr>
        <w:spacing w:before="0" w:after="120" w:line="269" w:lineRule="auto"/>
      </w:pPr>
      <w:r>
        <w:rPr>
          <w:rFonts w:ascii="Calibri" w:hAnsi="Calibri"/>
          <w:b w:val="0"/>
          <w:i/>
          <w:color w:val="6A7890"/>
          <w:sz w:val="20"/>
        </w:rPr>
        <w:t>Questions can go to anyone, so everyone owns the headline numbers and the assumptions. These are the areas each person should be ready to lead on.</w:t>
      </w:r>
    </w:p>
    <w:p>
      <w:pPr>
        <w:spacing w:before="80" w:after="60" w:line="269" w:lineRule="auto"/>
      </w:pPr>
      <w:r>
        <w:rPr>
          <w:rFonts w:ascii="Calibri" w:hAnsi="Calibri"/>
          <w:b/>
          <w:i w:val="0"/>
          <w:color w:val="C7672C"/>
          <w:sz w:val="23"/>
        </w:rPr>
        <w:t xml:space="preserve">Oskar.  </w:t>
      </w:r>
      <w:r>
        <w:rPr>
          <w:rFonts w:ascii="Calibri" w:hAnsi="Calibri"/>
          <w:b w:val="0"/>
          <w:i w:val="0"/>
          <w:color w:val="1B2A45"/>
          <w:sz w:val="22"/>
        </w:rPr>
        <w:t>Framing &amp; evaluation design: why this aspect matters, the paired A/B set-up, LLM-as-a-Judge validity and its limits, and communicating results to non-experts.</w:t>
      </w:r>
    </w:p>
    <w:p>
      <w:pPr>
        <w:spacing w:before="80" w:after="60" w:line="269" w:lineRule="auto"/>
      </w:pPr>
      <w:r>
        <w:rPr>
          <w:rFonts w:ascii="Calibri" w:hAnsi="Calibri"/>
          <w:b/>
          <w:i w:val="0"/>
          <w:color w:val="C7672C"/>
          <w:sz w:val="23"/>
        </w:rPr>
        <w:t xml:space="preserve">Matthes.  </w:t>
      </w:r>
      <w:r>
        <w:rPr>
          <w:rFonts w:ascii="Calibri" w:hAnsi="Calibri"/>
          <w:b w:val="0"/>
          <w:i w:val="0"/>
          <w:color w:val="1B2A45"/>
          <w:sz w:val="22"/>
        </w:rPr>
        <w:t>System &amp; data: model choice and runtime (open-weight, GPU), the refusal-direction edit, factors of variation in the construction set, outputs→Bernoulli, and the power/sample-size calculation.</w:t>
      </w:r>
    </w:p>
    <w:p>
      <w:pPr>
        <w:spacing w:before="80" w:after="60" w:line="269" w:lineRule="auto"/>
      </w:pPr>
      <w:r>
        <w:rPr>
          <w:rFonts w:ascii="Calibri" w:hAnsi="Calibri"/>
          <w:b/>
          <w:i w:val="0"/>
          <w:color w:val="C7672C"/>
          <w:sz w:val="23"/>
        </w:rPr>
        <w:t xml:space="preserve">Carl Johan.  </w:t>
      </w:r>
      <w:r>
        <w:rPr>
          <w:rFonts w:ascii="Calibri" w:hAnsi="Calibri"/>
          <w:b w:val="0"/>
          <w:i w:val="0"/>
          <w:color w:val="1B2A45"/>
          <w:sz w:val="22"/>
        </w:rPr>
        <w:t>Inference: the statistical model and matrix/GLM formulation, interaction effects, assumptions and how they're checked, parametric vs non-parametric tests, and why McNemar.</w:t>
      </w:r>
    </w:p>
    <w:p>
      <w:pPr>
        <w:spacing w:before="80" w:after="60" w:line="269" w:lineRule="auto"/>
      </w:pPr>
      <w:r>
        <w:rPr>
          <w:rFonts w:ascii="Calibri" w:hAnsi="Calibri"/>
          <w:b/>
          <w:i w:val="0"/>
          <w:color w:val="C7672C"/>
          <w:sz w:val="23"/>
        </w:rPr>
        <w:t xml:space="preserve">Oliver.  </w:t>
      </w:r>
      <w:r>
        <w:rPr>
          <w:rFonts w:ascii="Calibri" w:hAnsi="Calibri"/>
          <w:b w:val="0"/>
          <w:i w:val="0"/>
          <w:color w:val="1B2A45"/>
          <w:sz w:val="22"/>
        </w:rPr>
        <w:t>Robustness &amp; responsible AI: the category-clustered bootstrap, paired-flip reading, generalization via hold-out/CV, the bias/fairness-of-coverage lens, and multiple-comparisons handling.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A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