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规则测试说明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本目录用于证明恢复指数、风险分级和推荐路径可以脱离页面单独检查。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当前包含：</w:t>
      </w:r>
    </w:p>
    <w:p>
      <w:pPr>
        <w:pStyle w:val="ListBullet"/>
        <w:spacing w:after="40"/>
        <w:ind w:left="340" w:firstLine="0"/>
      </w:pPr>
      <w:r>
        <w:rPr>
          <w:rFonts w:ascii="Consolas" w:hAnsi="Consolas" w:eastAsia="Consolas"/>
          <w:color w:val="3A4C47"/>
          <w:sz w:val="20"/>
          <w:shd w:fill="EEF4F1"/>
        </w:rPr>
        <w:t>tests/rule-cases.json</w:t>
      </w:r>
      <w:r>
        <w:rPr>
          <w:rFonts w:ascii="Microsoft YaHei" w:hAnsi="Microsoft YaHei" w:eastAsia="Microsoft YaHei"/>
          <w:color w:val="3F534D"/>
          <w:sz w:val="22"/>
        </w:rPr>
        <w:t>：规则测试样例。</w:t>
      </w:r>
    </w:p>
    <w:p>
      <w:pPr>
        <w:pStyle w:val="ListBullet"/>
        <w:spacing w:after="40"/>
        <w:ind w:left="340" w:firstLine="0"/>
      </w:pPr>
      <w:r>
        <w:rPr>
          <w:rFonts w:ascii="Consolas" w:hAnsi="Consolas" w:eastAsia="Consolas"/>
          <w:color w:val="3A4C47"/>
          <w:sz w:val="20"/>
          <w:shd w:fill="EEF4F1"/>
        </w:rPr>
        <w:t>src/rules/recovery-score.js</w:t>
      </w:r>
      <w:r>
        <w:rPr>
          <w:rFonts w:ascii="Microsoft YaHei" w:hAnsi="Microsoft YaHei" w:eastAsia="Microsoft YaHei"/>
          <w:color w:val="3F534D"/>
          <w:sz w:val="22"/>
        </w:rPr>
        <w:t>：恢复指数计算模块。</w:t>
      </w:r>
    </w:p>
    <w:p>
      <w:pPr>
        <w:pStyle w:val="ListBullet"/>
        <w:spacing w:after="40"/>
        <w:ind w:left="340" w:firstLine="0"/>
      </w:pPr>
      <w:r>
        <w:rPr>
          <w:rFonts w:ascii="Consolas" w:hAnsi="Consolas" w:eastAsia="Consolas"/>
          <w:color w:val="3A4C47"/>
          <w:sz w:val="20"/>
          <w:shd w:fill="EEF4F1"/>
        </w:rPr>
        <w:t>src/rules/risk-assessment.js</w:t>
      </w:r>
      <w:r>
        <w:rPr>
          <w:rFonts w:ascii="Microsoft YaHei" w:hAnsi="Microsoft YaHei" w:eastAsia="Microsoft YaHei"/>
          <w:color w:val="3F534D"/>
          <w:sz w:val="22"/>
        </w:rPr>
        <w:t>：风险分级模块。</w:t>
      </w:r>
    </w:p>
    <w:p>
      <w:pPr>
        <w:pStyle w:val="ListBullet"/>
        <w:spacing w:after="40"/>
        <w:ind w:left="340" w:firstLine="0"/>
      </w:pPr>
      <w:r>
        <w:rPr>
          <w:rFonts w:ascii="Consolas" w:hAnsi="Consolas" w:eastAsia="Consolas"/>
          <w:color w:val="3A4C47"/>
          <w:sz w:val="20"/>
          <w:shd w:fill="EEF4F1"/>
        </w:rPr>
        <w:t>src/rules/recommendation.js</w:t>
      </w:r>
      <w:r>
        <w:rPr>
          <w:rFonts w:ascii="Microsoft YaHei" w:hAnsi="Microsoft YaHei" w:eastAsia="Microsoft YaHei"/>
          <w:color w:val="3F534D"/>
          <w:sz w:val="22"/>
        </w:rPr>
        <w:t>：推荐路径模块。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重点测试结论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编号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测试重点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预期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R01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焦虑状态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推荐呼吸、散步、记录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R02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低落状态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推荐呼吸、联系朋友、睡前放松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R03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疲惫状态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推荐睡前放松、呼吸、小任务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R04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出现“绝望”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触发高风险，只返回求助入口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R05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出现自伤相关表达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触发高风险，只返回求助入口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R06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状态稳定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推荐小任务、记录、散步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国赛答辩时可说明：心理安全优先级高于普通推荐逻辑，高风险触发后不会继续安排普通自助干预作为主路径。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规则测试说明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