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B5D0" w14:textId="77777777" w:rsidR="00675304" w:rsidRDefault="00675304">
      <w:pPr>
        <w:spacing w:before="1200"/>
      </w:pPr>
    </w:p>
    <w:p w14:paraId="15E2CBCD" w14:textId="0496058F" w:rsidR="00675304" w:rsidRDefault="009D587E">
      <w:pPr>
        <w:jc w:val="center"/>
      </w:pPr>
      <w:r w:rsidRPr="009D587E">
        <w:rPr>
          <w:noProof/>
        </w:rPr>
        <w:drawing>
          <wp:inline distT="0" distB="0" distL="0" distR="0" wp14:anchorId="13411031" wp14:editId="4216ED2F">
            <wp:extent cx="4153480" cy="2867425"/>
            <wp:effectExtent l="0" t="0" r="0" b="9525"/>
            <wp:docPr id="17972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25C7" w14:textId="77777777" w:rsidR="00675304" w:rsidRDefault="00000000">
      <w:pPr>
        <w:spacing w:before="500"/>
        <w:jc w:val="center"/>
      </w:pPr>
      <w:r>
        <w:rPr>
          <w:rFonts w:ascii="Poppins" w:eastAsia="Poppins" w:hAnsi="Poppins" w:cs="Poppins"/>
          <w:b/>
          <w:bCs/>
          <w:color w:val="241F10"/>
          <w:sz w:val="56"/>
          <w:szCs w:val="56"/>
        </w:rPr>
        <w:t>Brand &amp; Design Guide</w:t>
      </w:r>
    </w:p>
    <w:p w14:paraId="7F0326DF" w14:textId="77777777" w:rsidR="00675304" w:rsidRDefault="00000000">
      <w:pPr>
        <w:spacing w:before="120" w:after="800"/>
        <w:jc w:val="center"/>
      </w:pPr>
      <w:r>
        <w:rPr>
          <w:rFonts w:ascii="Poppins" w:eastAsia="Poppins" w:hAnsi="Poppins" w:cs="Poppins"/>
          <w:i/>
          <w:iCs/>
          <w:color w:val="B9852A"/>
          <w:sz w:val="26"/>
          <w:szCs w:val="26"/>
        </w:rPr>
        <w:t xml:space="preserve">The Bus </w:t>
      </w:r>
      <w:proofErr w:type="gramStart"/>
      <w:r>
        <w:rPr>
          <w:rFonts w:ascii="Poppins" w:eastAsia="Poppins" w:hAnsi="Poppins" w:cs="Poppins"/>
          <w:i/>
          <w:iCs/>
          <w:color w:val="B9852A"/>
          <w:sz w:val="26"/>
          <w:szCs w:val="26"/>
        </w:rPr>
        <w:t>For</w:t>
      </w:r>
      <w:proofErr w:type="gramEnd"/>
      <w:r>
        <w:rPr>
          <w:rFonts w:ascii="Poppins" w:eastAsia="Poppins" w:hAnsi="Poppins" w:cs="Poppins"/>
          <w:i/>
          <w:iCs/>
          <w:color w:val="B9852A"/>
          <w:sz w:val="26"/>
          <w:szCs w:val="26"/>
        </w:rPr>
        <w:t xml:space="preserve"> Us</w:t>
      </w:r>
    </w:p>
    <w:p w14:paraId="36F72236" w14:textId="77777777" w:rsidR="00675304" w:rsidRDefault="00000000">
      <w:pPr>
        <w:spacing w:before="2000"/>
        <w:jc w:val="center"/>
      </w:pPr>
      <w:r>
        <w:rPr>
          <w:color w:val="9A978D"/>
          <w:sz w:val="20"/>
          <w:szCs w:val="20"/>
        </w:rPr>
        <w:t>Prepared for academic presentation</w:t>
      </w:r>
    </w:p>
    <w:p w14:paraId="41E84C5B" w14:textId="77777777" w:rsidR="00675304" w:rsidRDefault="00000000">
      <w:pPr>
        <w:jc w:val="center"/>
      </w:pPr>
      <w:proofErr w:type="spellStart"/>
      <w:r>
        <w:rPr>
          <w:color w:val="9A978D"/>
          <w:sz w:val="20"/>
          <w:szCs w:val="20"/>
        </w:rPr>
        <w:t>GoldenWay</w:t>
      </w:r>
      <w:proofErr w:type="spellEnd"/>
      <w:r>
        <w:rPr>
          <w:color w:val="9A978D"/>
          <w:sz w:val="20"/>
          <w:szCs w:val="20"/>
        </w:rPr>
        <w:t xml:space="preserve"> Mobile Commuter App</w:t>
      </w:r>
    </w:p>
    <w:p w14:paraId="07C617A1" w14:textId="77777777" w:rsidR="00675304" w:rsidRDefault="00000000">
      <w:r>
        <w:br w:type="page"/>
      </w:r>
    </w:p>
    <w:p w14:paraId="5585236D" w14:textId="77777777" w:rsidR="00675304" w:rsidRDefault="00675304">
      <w:pPr>
        <w:sectPr w:rsidR="0067530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FACDF51" w14:textId="77777777" w:rsidR="00675304" w:rsidRDefault="00000000">
      <w:pPr>
        <w:pStyle w:val="Heading1"/>
        <w:keepNext/>
        <w:keepLines/>
        <w:pBdr>
          <w:bottom w:val="single" w:sz="12" w:space="6" w:color="F0B429"/>
        </w:pBdr>
        <w:spacing w:before="400" w:after="200"/>
      </w:pPr>
      <w:r>
        <w:rPr>
          <w:rFonts w:ascii="Poppins" w:eastAsia="Poppins" w:hAnsi="Poppins" w:cs="Poppins"/>
          <w:b/>
          <w:bCs/>
          <w:color w:val="241F10"/>
        </w:rPr>
        <w:lastRenderedPageBreak/>
        <w:t>Brand Overview</w:t>
      </w:r>
    </w:p>
    <w:p w14:paraId="560014A5" w14:textId="77777777" w:rsidR="00675304" w:rsidRDefault="00000000">
      <w:pPr>
        <w:spacing w:after="160" w:line="300" w:lineRule="auto"/>
      </w:pPr>
      <w:proofErr w:type="spellStart"/>
      <w:r>
        <w:t>GoldenWay</w:t>
      </w:r>
      <w:proofErr w:type="spellEnd"/>
      <w:r>
        <w:t xml:space="preserve"> is a mobile commuter application designed to make daily bus travel simple, transparent, and dignified. The brand identity draws on the visual language of Golden Arrow Bus Services — the gold-and-black palette signals reliability and civic familiarity, while the arrow motif in the logo communicates forward motion and punctuality.</w:t>
      </w:r>
    </w:p>
    <w:p w14:paraId="5C24DF46" w14:textId="77777777" w:rsidR="00675304" w:rsidRDefault="00000000">
      <w:pPr>
        <w:spacing w:after="160" w:line="300" w:lineRule="auto"/>
      </w:pPr>
      <w:r>
        <w:t>The product spans account creation, live trip tracking, fare/pass management, contactless card use, ride history, and profile management. Across every screen, the interface commits to one consistent set of tokens: colour, type, spacing, and component shape — so the app reads as a single considered system rather than a patchwork of screens.</w:t>
      </w:r>
    </w:p>
    <w:p w14:paraId="0D965866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Brand Attributes</w:t>
      </w:r>
    </w:p>
    <w:p w14:paraId="5BC9FDF8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Reliable — consistent visual patterns build trust the way a punctual bus service does.</w:t>
      </w:r>
    </w:p>
    <w:p w14:paraId="6F2106C8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Warm — cream backgrounds and rounded shapes soften what could be a purely transactional utility app.</w:t>
      </w:r>
    </w:p>
    <w:p w14:paraId="610E11E0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Clear — high-contrast ink-on-cream text, generous spacing, and minimal ornamentation prioritise legibility.</w:t>
      </w:r>
    </w:p>
    <w:p w14:paraId="73D0BBE1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Premium-accessible — gold accents and soft gradients suggest quality without alienating an everyday, mass-transit audience.</w:t>
      </w:r>
    </w:p>
    <w:p w14:paraId="29C48A18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Logo &amp; Wordmark</w:t>
      </w:r>
    </w:p>
    <w:p w14:paraId="73F28F29" w14:textId="77777777" w:rsidR="00675304" w:rsidRDefault="00000000">
      <w:pPr>
        <w:spacing w:after="160" w:line="300" w:lineRule="auto"/>
      </w:pPr>
      <w:r>
        <w:t xml:space="preserve">The </w:t>
      </w:r>
      <w:proofErr w:type="spellStart"/>
      <w:r>
        <w:t>GoldenWay</w:t>
      </w:r>
      <w:proofErr w:type="spellEnd"/>
      <w:r>
        <w:t xml:space="preserve"> mark pairs a bold circular “GA” monogram with a forward-pointing arrow, rendered in Gold 400/500. The wordmark uses the display typeface in solid ink, with the tagline “The Bus </w:t>
      </w:r>
      <w:proofErr w:type="gramStart"/>
      <w:r>
        <w:t>For</w:t>
      </w:r>
      <w:proofErr w:type="gramEnd"/>
      <w:r>
        <w:t xml:space="preserve"> Us” set in small gold caps beneath it. The logo should always sit on a light (cream or white) background for full contrast.</w:t>
      </w:r>
    </w:p>
    <w:p w14:paraId="3B6B0CEF" w14:textId="77777777" w:rsidR="00675304" w:rsidRDefault="00000000">
      <w:pPr>
        <w:pStyle w:val="Heading1"/>
        <w:keepNext/>
        <w:keepLines/>
        <w:pBdr>
          <w:bottom w:val="single" w:sz="12" w:space="6" w:color="F0B429"/>
        </w:pBdr>
        <w:spacing w:before="400" w:after="200"/>
      </w:pPr>
      <w:r>
        <w:rPr>
          <w:rFonts w:ascii="Poppins" w:eastAsia="Poppins" w:hAnsi="Poppins" w:cs="Poppins"/>
          <w:b/>
          <w:bCs/>
          <w:color w:val="241F10"/>
        </w:rPr>
        <w:t>Colour System</w:t>
      </w:r>
    </w:p>
    <w:p w14:paraId="14DBFC2D" w14:textId="77777777" w:rsidR="00675304" w:rsidRDefault="00000000">
      <w:pPr>
        <w:spacing w:after="160" w:line="300" w:lineRule="auto"/>
      </w:pPr>
      <w:r>
        <w:t>The palette is built as a small token set rather than a broad swatch library, which keeps every screen visually related. Gold carries primary actions and brand moments; cream carries surfaces and structure; ink and slate carry text; navy is reserved for premium/secure contexts (payment cards, dark banners).</w:t>
      </w:r>
    </w:p>
    <w:p w14:paraId="56660B89" w14:textId="77777777" w:rsidR="00675304" w:rsidRDefault="00000000">
      <w:pPr>
        <w:keepNext/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1C589E09" wp14:editId="0EB3785E">
            <wp:extent cx="5334000" cy="2533650"/>
            <wp:effectExtent l="0" t="0" r="0" b="0"/>
            <wp:docPr id="1815452828" name="Picture 1815452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61A9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Usage Guidelines</w:t>
      </w:r>
    </w:p>
    <w:p w14:paraId="4C105088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Gold 400–500: primary buttons, active states, brand highlights, the pass/card surface.</w:t>
      </w:r>
    </w:p>
    <w:p w14:paraId="28EE5DD4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Gold 600–700: hover/pressed states and small accent text (e.g. “View All” links).</w:t>
      </w:r>
    </w:p>
    <w:p w14:paraId="5B92617C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Cream 50–200: page backgrounds, card surfaces, input fields — never pure white, to keep warmth.</w:t>
      </w:r>
    </w:p>
    <w:p w14:paraId="19B2B93A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Ink 900/700: primary and secondary text — never pure black, for a softer contrast with cream.</w:t>
      </w:r>
    </w:p>
    <w:p w14:paraId="78789E1D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Slate 400–500: placeholder text, timestamps, de-emphasised metadata.</w:t>
      </w:r>
    </w:p>
    <w:p w14:paraId="4656B9A4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Navy 800–950: the physical card/pass surface and any “secure” or premium banner treatment.</w:t>
      </w:r>
    </w:p>
    <w:p w14:paraId="081CB334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Semantic colours (emerald for success/verified, red for destructive actions like logout or deactivation) are used sparingly and only for status or risk, never decoratively.</w:t>
      </w:r>
    </w:p>
    <w:p w14:paraId="50139793" w14:textId="77777777" w:rsidR="00675304" w:rsidRDefault="00000000">
      <w:pPr>
        <w:pStyle w:val="Heading1"/>
        <w:keepNext/>
        <w:keepLines/>
        <w:pBdr>
          <w:bottom w:val="single" w:sz="12" w:space="6" w:color="F0B429"/>
        </w:pBdr>
        <w:spacing w:before="400" w:after="200"/>
      </w:pPr>
      <w:r>
        <w:rPr>
          <w:rFonts w:ascii="Poppins" w:eastAsia="Poppins" w:hAnsi="Poppins" w:cs="Poppins"/>
          <w:b/>
          <w:bCs/>
          <w:color w:val="241F10"/>
        </w:rPr>
        <w:t>Typography</w:t>
      </w:r>
    </w:p>
    <w:p w14:paraId="1AAAB966" w14:textId="77777777" w:rsidR="00675304" w:rsidRDefault="00000000">
      <w:pPr>
        <w:spacing w:after="160" w:line="300" w:lineRule="auto"/>
      </w:pPr>
      <w:r>
        <w:t>Two typefaces carry the entire interface. Poppins (display) is used for headings, screen titles, prices, and anything that needs presence. Inter (body) is used for everything read at length — labels, descriptions, form values.</w:t>
      </w:r>
    </w:p>
    <w:p w14:paraId="22972D1D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Type Scale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1800"/>
        <w:gridCol w:w="2600"/>
      </w:tblGrid>
      <w:tr w:rsidR="00675304" w14:paraId="6E9344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41F10"/>
          </w:tcPr>
          <w:p w14:paraId="1CAA67B6" w14:textId="77777777" w:rsidR="00675304" w:rsidRDefault="00000000">
            <w:r>
              <w:rPr>
                <w:b/>
                <w:bCs/>
                <w:color w:val="FFFFFF"/>
                <w:sz w:val="18"/>
                <w:szCs w:val="18"/>
              </w:rPr>
              <w:t>Style</w:t>
            </w:r>
          </w:p>
        </w:tc>
        <w:tc>
          <w:tcPr>
            <w:tcW w:w="3200" w:type="dxa"/>
            <w:shd w:val="clear" w:color="auto" w:fill="241F10"/>
          </w:tcPr>
          <w:p w14:paraId="5059711B" w14:textId="77777777" w:rsidR="00675304" w:rsidRDefault="00000000">
            <w:r>
              <w:rPr>
                <w:b/>
                <w:bCs/>
                <w:color w:val="FFFFFF"/>
                <w:sz w:val="18"/>
                <w:szCs w:val="18"/>
              </w:rPr>
              <w:t>Sample</w:t>
            </w:r>
          </w:p>
        </w:tc>
        <w:tc>
          <w:tcPr>
            <w:tcW w:w="1800" w:type="dxa"/>
            <w:shd w:val="clear" w:color="auto" w:fill="241F10"/>
          </w:tcPr>
          <w:p w14:paraId="1254F74C" w14:textId="77777777" w:rsidR="00675304" w:rsidRDefault="00000000">
            <w:r>
              <w:rPr>
                <w:b/>
                <w:bCs/>
                <w:color w:val="FFFFFF"/>
                <w:sz w:val="18"/>
                <w:szCs w:val="18"/>
              </w:rPr>
              <w:t>Size / Weight</w:t>
            </w:r>
          </w:p>
        </w:tc>
        <w:tc>
          <w:tcPr>
            <w:tcW w:w="2600" w:type="dxa"/>
            <w:shd w:val="clear" w:color="auto" w:fill="241F10"/>
          </w:tcPr>
          <w:p w14:paraId="609FD3F5" w14:textId="77777777" w:rsidR="00675304" w:rsidRDefault="0000000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675304" w14:paraId="2F2DD0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F3E7"/>
          </w:tcPr>
          <w:p w14:paraId="22B5156A" w14:textId="77777777" w:rsidR="00675304" w:rsidRDefault="00000000">
            <w:r>
              <w:rPr>
                <w:b/>
                <w:bCs/>
                <w:color w:val="241F10"/>
                <w:sz w:val="18"/>
                <w:szCs w:val="18"/>
              </w:rPr>
              <w:t>Display XL</w:t>
            </w:r>
          </w:p>
        </w:tc>
        <w:tc>
          <w:tcPr>
            <w:tcW w:w="3200" w:type="dxa"/>
          </w:tcPr>
          <w:p w14:paraId="18035B40" w14:textId="77777777" w:rsidR="00675304" w:rsidRDefault="00000000">
            <w:r>
              <w:rPr>
                <w:rFonts w:ascii="Poppins" w:eastAsia="Poppins" w:hAnsi="Poppins" w:cs="Poppins"/>
                <w:b/>
                <w:bCs/>
                <w:color w:val="241F10"/>
                <w:sz w:val="26"/>
                <w:szCs w:val="26"/>
              </w:rPr>
              <w:t>Ready for your trip?</w:t>
            </w:r>
          </w:p>
        </w:tc>
        <w:tc>
          <w:tcPr>
            <w:tcW w:w="1800" w:type="dxa"/>
          </w:tcPr>
          <w:p w14:paraId="53D074A0" w14:textId="77777777" w:rsidR="00675304" w:rsidRDefault="00000000">
            <w:r>
              <w:rPr>
                <w:color w:val="9A978D"/>
                <w:sz w:val="18"/>
                <w:szCs w:val="18"/>
              </w:rPr>
              <w:t>13pt / Bold</w:t>
            </w:r>
          </w:p>
        </w:tc>
        <w:tc>
          <w:tcPr>
            <w:tcW w:w="2600" w:type="dxa"/>
          </w:tcPr>
          <w:p w14:paraId="7F16F7D0" w14:textId="77777777" w:rsidR="00675304" w:rsidRDefault="00000000">
            <w:r>
              <w:rPr>
                <w:sz w:val="18"/>
                <w:szCs w:val="18"/>
              </w:rPr>
              <w:t>Screen headlines</w:t>
            </w:r>
          </w:p>
        </w:tc>
      </w:tr>
      <w:tr w:rsidR="00675304" w14:paraId="6FB36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F3E7"/>
          </w:tcPr>
          <w:p w14:paraId="0BAAC508" w14:textId="77777777" w:rsidR="00675304" w:rsidRDefault="00000000">
            <w:r>
              <w:rPr>
                <w:b/>
                <w:bCs/>
                <w:color w:val="241F10"/>
                <w:sz w:val="18"/>
                <w:szCs w:val="18"/>
              </w:rPr>
              <w:t>Display L</w:t>
            </w:r>
          </w:p>
        </w:tc>
        <w:tc>
          <w:tcPr>
            <w:tcW w:w="3200" w:type="dxa"/>
          </w:tcPr>
          <w:p w14:paraId="31556B05" w14:textId="77777777" w:rsidR="00675304" w:rsidRDefault="00000000">
            <w:r>
              <w:rPr>
                <w:rFonts w:ascii="Poppins" w:eastAsia="Poppins" w:hAnsi="Poppins" w:cs="Poppins"/>
                <w:b/>
                <w:bCs/>
                <w:color w:val="241F10"/>
                <w:sz w:val="24"/>
                <w:szCs w:val="24"/>
              </w:rPr>
              <w:t>Your Details</w:t>
            </w:r>
          </w:p>
        </w:tc>
        <w:tc>
          <w:tcPr>
            <w:tcW w:w="1800" w:type="dxa"/>
          </w:tcPr>
          <w:p w14:paraId="34F7719D" w14:textId="77777777" w:rsidR="00675304" w:rsidRDefault="00000000">
            <w:r>
              <w:rPr>
                <w:color w:val="9A978D"/>
                <w:sz w:val="18"/>
                <w:szCs w:val="18"/>
              </w:rPr>
              <w:t>12pt / Bold</w:t>
            </w:r>
          </w:p>
        </w:tc>
        <w:tc>
          <w:tcPr>
            <w:tcW w:w="2600" w:type="dxa"/>
          </w:tcPr>
          <w:p w14:paraId="13CE62DD" w14:textId="77777777" w:rsidR="00675304" w:rsidRDefault="00000000">
            <w:r>
              <w:rPr>
                <w:sz w:val="18"/>
                <w:szCs w:val="18"/>
              </w:rPr>
              <w:t>Section / card titles</w:t>
            </w:r>
          </w:p>
        </w:tc>
      </w:tr>
      <w:tr w:rsidR="00675304" w14:paraId="43500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F3E7"/>
          </w:tcPr>
          <w:p w14:paraId="51B863D2" w14:textId="77777777" w:rsidR="00675304" w:rsidRDefault="00000000">
            <w:r>
              <w:rPr>
                <w:b/>
                <w:bCs/>
                <w:color w:val="241F10"/>
                <w:sz w:val="18"/>
                <w:szCs w:val="18"/>
              </w:rPr>
              <w:t>Body Semibold</w:t>
            </w:r>
          </w:p>
        </w:tc>
        <w:tc>
          <w:tcPr>
            <w:tcW w:w="3200" w:type="dxa"/>
          </w:tcPr>
          <w:p w14:paraId="29DA5352" w14:textId="77777777" w:rsidR="00675304" w:rsidRDefault="00000000">
            <w:r>
              <w:rPr>
                <w:rFonts w:ascii="Poppins" w:eastAsia="Poppins" w:hAnsi="Poppins" w:cs="Poppins"/>
                <w:b/>
                <w:bCs/>
                <w:color w:val="241F10"/>
                <w:sz w:val="22"/>
                <w:szCs w:val="22"/>
              </w:rPr>
              <w:t>John Doe</w:t>
            </w:r>
          </w:p>
        </w:tc>
        <w:tc>
          <w:tcPr>
            <w:tcW w:w="1800" w:type="dxa"/>
          </w:tcPr>
          <w:p w14:paraId="37BB3713" w14:textId="77777777" w:rsidR="00675304" w:rsidRDefault="00000000">
            <w:r>
              <w:rPr>
                <w:color w:val="9A978D"/>
                <w:sz w:val="18"/>
                <w:szCs w:val="18"/>
              </w:rPr>
              <w:t>11pt / Semibold</w:t>
            </w:r>
          </w:p>
        </w:tc>
        <w:tc>
          <w:tcPr>
            <w:tcW w:w="2600" w:type="dxa"/>
          </w:tcPr>
          <w:p w14:paraId="243C95EB" w14:textId="77777777" w:rsidR="00675304" w:rsidRDefault="00000000">
            <w:r>
              <w:rPr>
                <w:sz w:val="18"/>
                <w:szCs w:val="18"/>
              </w:rPr>
              <w:t>Names, key values</w:t>
            </w:r>
          </w:p>
        </w:tc>
      </w:tr>
      <w:tr w:rsidR="00675304" w14:paraId="27696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F3E7"/>
          </w:tcPr>
          <w:p w14:paraId="7108B3D2" w14:textId="77777777" w:rsidR="00675304" w:rsidRDefault="00000000">
            <w:r>
              <w:rPr>
                <w:b/>
                <w:bCs/>
                <w:color w:val="241F10"/>
                <w:sz w:val="18"/>
                <w:szCs w:val="18"/>
              </w:rPr>
              <w:t>Body</w:t>
            </w:r>
          </w:p>
        </w:tc>
        <w:tc>
          <w:tcPr>
            <w:tcW w:w="3200" w:type="dxa"/>
          </w:tcPr>
          <w:p w14:paraId="75E76FD4" w14:textId="77777777" w:rsidR="00675304" w:rsidRDefault="00000000">
            <w:r>
              <w:rPr>
                <w:rFonts w:ascii="Poppins" w:eastAsia="Poppins" w:hAnsi="Poppins" w:cs="Poppins"/>
                <w:color w:val="241F10"/>
                <w:sz w:val="20"/>
                <w:szCs w:val="20"/>
              </w:rPr>
              <w:t>Gold Member since 2022</w:t>
            </w:r>
          </w:p>
        </w:tc>
        <w:tc>
          <w:tcPr>
            <w:tcW w:w="1800" w:type="dxa"/>
          </w:tcPr>
          <w:p w14:paraId="4ABA11A0" w14:textId="77777777" w:rsidR="00675304" w:rsidRDefault="00000000">
            <w:r>
              <w:rPr>
                <w:color w:val="9A978D"/>
                <w:sz w:val="18"/>
                <w:szCs w:val="18"/>
              </w:rPr>
              <w:t>10pt / Regular</w:t>
            </w:r>
          </w:p>
        </w:tc>
        <w:tc>
          <w:tcPr>
            <w:tcW w:w="2600" w:type="dxa"/>
          </w:tcPr>
          <w:p w14:paraId="5F42F978" w14:textId="77777777" w:rsidR="00675304" w:rsidRDefault="00000000">
            <w:r>
              <w:rPr>
                <w:sz w:val="18"/>
                <w:szCs w:val="18"/>
              </w:rPr>
              <w:t>Descriptions, labels</w:t>
            </w:r>
          </w:p>
        </w:tc>
      </w:tr>
      <w:tr w:rsidR="00675304" w14:paraId="2A5EC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F3E7"/>
          </w:tcPr>
          <w:p w14:paraId="10EE4CBF" w14:textId="77777777" w:rsidR="00675304" w:rsidRDefault="00000000">
            <w:r>
              <w:rPr>
                <w:b/>
                <w:bCs/>
                <w:color w:val="241F10"/>
                <w:sz w:val="18"/>
                <w:szCs w:val="18"/>
              </w:rPr>
              <w:t>Caption</w:t>
            </w:r>
          </w:p>
        </w:tc>
        <w:tc>
          <w:tcPr>
            <w:tcW w:w="3200" w:type="dxa"/>
          </w:tcPr>
          <w:p w14:paraId="2102E426" w14:textId="77777777" w:rsidR="00675304" w:rsidRDefault="00000000">
            <w:r>
              <w:rPr>
                <w:rFonts w:ascii="Poppins" w:eastAsia="Poppins" w:hAnsi="Poppins" w:cs="Poppins"/>
                <w:b/>
                <w:bCs/>
                <w:color w:val="241F10"/>
                <w:sz w:val="18"/>
                <w:szCs w:val="18"/>
              </w:rPr>
              <w:t>PERSONAL IDENTITY</w:t>
            </w:r>
          </w:p>
        </w:tc>
        <w:tc>
          <w:tcPr>
            <w:tcW w:w="1800" w:type="dxa"/>
          </w:tcPr>
          <w:p w14:paraId="06F75874" w14:textId="77777777" w:rsidR="00675304" w:rsidRDefault="00000000">
            <w:r>
              <w:rPr>
                <w:color w:val="9A978D"/>
                <w:sz w:val="18"/>
                <w:szCs w:val="18"/>
              </w:rPr>
              <w:t>9pt / Semibold</w:t>
            </w:r>
          </w:p>
        </w:tc>
        <w:tc>
          <w:tcPr>
            <w:tcW w:w="2600" w:type="dxa"/>
          </w:tcPr>
          <w:p w14:paraId="5A091B07" w14:textId="77777777" w:rsidR="00675304" w:rsidRDefault="00000000">
            <w:r>
              <w:rPr>
                <w:sz w:val="18"/>
                <w:szCs w:val="18"/>
              </w:rPr>
              <w:t>Eyebrow / section labels</w:t>
            </w:r>
          </w:p>
        </w:tc>
      </w:tr>
    </w:tbl>
    <w:p w14:paraId="101BEE5C" w14:textId="77777777" w:rsidR="00675304" w:rsidRDefault="00675304">
      <w:pPr>
        <w:spacing w:before="200"/>
      </w:pPr>
    </w:p>
    <w:p w14:paraId="1A9403FC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lastRenderedPageBreak/>
        <w:t>Font Pairing Rule</w:t>
      </w:r>
    </w:p>
    <w:p w14:paraId="3B6995BE" w14:textId="77777777" w:rsidR="00675304" w:rsidRDefault="00000000">
      <w:pPr>
        <w:spacing w:after="160" w:line="300" w:lineRule="auto"/>
      </w:pPr>
      <w:r>
        <w:t xml:space="preserve">Poppins never appears in long-form body </w:t>
      </w:r>
      <w:proofErr w:type="gramStart"/>
      <w:r>
        <w:t>copy, and</w:t>
      </w:r>
      <w:proofErr w:type="gramEnd"/>
      <w:r>
        <w:t xml:space="preserve"> Inter never carries a screen title. This split keeps the hierarchy scannable </w:t>
      </w:r>
      <w:proofErr w:type="gramStart"/>
      <w:r>
        <w:t>at a glance</w:t>
      </w:r>
      <w:proofErr w:type="gramEnd"/>
      <w:r>
        <w:t xml:space="preserve"> — a user should be able to tell a heading from a value without reading it.</w:t>
      </w:r>
    </w:p>
    <w:p w14:paraId="5CA26088" w14:textId="77777777" w:rsidR="00675304" w:rsidRDefault="00000000">
      <w:pPr>
        <w:pStyle w:val="Heading1"/>
        <w:keepNext/>
        <w:keepLines/>
        <w:pBdr>
          <w:bottom w:val="single" w:sz="12" w:space="6" w:color="F0B429"/>
        </w:pBdr>
        <w:spacing w:before="400" w:after="200"/>
      </w:pPr>
      <w:r>
        <w:rPr>
          <w:rFonts w:ascii="Poppins" w:eastAsia="Poppins" w:hAnsi="Poppins" w:cs="Poppins"/>
          <w:b/>
          <w:bCs/>
          <w:color w:val="241F10"/>
        </w:rPr>
        <w:t>Core Components</w:t>
      </w:r>
    </w:p>
    <w:p w14:paraId="5C5E1852" w14:textId="77777777" w:rsidR="00675304" w:rsidRDefault="00000000">
      <w:pPr>
        <w:spacing w:after="160" w:line="300" w:lineRule="auto"/>
      </w:pPr>
      <w:r>
        <w:t xml:space="preserve">Every screen in </w:t>
      </w:r>
      <w:proofErr w:type="spellStart"/>
      <w:r>
        <w:t>GoldenWay</w:t>
      </w:r>
      <w:proofErr w:type="spellEnd"/>
      <w:r>
        <w:t xml:space="preserve"> is assembled from the same small component vocabulary. Reusing these exact shapes and spacings — rather than styling each screen independently — is what makes the app feel like one product.</w:t>
      </w:r>
    </w:p>
    <w:p w14:paraId="20D7F69B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Buttons</w:t>
      </w:r>
    </w:p>
    <w:p w14:paraId="181C529B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Primary: gold gradient (Gold 400 → Gold 500), fully rounded corners, bold ink text, soft gold drop-shadow. Used for the single most important action per screen (Sign Up, Next, Save Card).</w:t>
      </w:r>
    </w:p>
    <w:p w14:paraId="1199C3ED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Secondary / Cancel: plain text, slate colour, no fill — always placed below the primary button, never beside it.</w:t>
      </w:r>
    </w:p>
    <w:p w14:paraId="52FE16BD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Destructive: outlined in red, red text, no fill — reserved for Logout and account-risk actions.</w:t>
      </w:r>
    </w:p>
    <w:p w14:paraId="78BB40F9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Cards &amp; Surfaces</w:t>
      </w:r>
    </w:p>
    <w:p w14:paraId="42B89B60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Info cards: Cream 100 fill, no border, generous internal padding (≈16–20px), rounded-2xl corners.</w:t>
      </w:r>
    </w:p>
    <w:p w14:paraId="3F2D82B9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 xml:space="preserve">Feature cards (Pass / </w:t>
      </w:r>
      <w:proofErr w:type="spellStart"/>
      <w:r>
        <w:t>GoldenWay</w:t>
      </w:r>
      <w:proofErr w:type="spellEnd"/>
      <w:r>
        <w:t xml:space="preserve"> Card): gold or navy gradient fill, white or ink text depending on contrast, used only for the one or two “hero” objects per screen (the pass, the payment card).</w:t>
      </w:r>
    </w:p>
    <w:p w14:paraId="4FFCCCAC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Inputs: Cream 200 fill at 70% opacity, a hairline Gold 500 border at low opacity, switching to a solid Gold 500 border on focus — never a harsh black focus ring.</w:t>
      </w:r>
    </w:p>
    <w:p w14:paraId="3044B7AE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Status &amp; Feedback</w:t>
      </w:r>
    </w:p>
    <w:p w14:paraId="574755D7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Verified / success: emerald badge, small pill shape, uppercase micro-label.</w:t>
      </w:r>
    </w:p>
    <w:p w14:paraId="66B50BD2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Warnings (e.g. Account Deactivation): red-tinted card, red icon and text, kept visually “</w:t>
      </w:r>
      <w:proofErr w:type="gramStart"/>
      <w:r>
        <w:t>quiet</w:t>
      </w:r>
      <w:proofErr w:type="gramEnd"/>
      <w:r>
        <w:t>” relative to gold so it reads as caution, not alarm.</w:t>
      </w:r>
    </w:p>
    <w:p w14:paraId="4A9354A6" w14:textId="77777777" w:rsidR="00675304" w:rsidRDefault="00000000">
      <w:pPr>
        <w:pStyle w:val="ListParagraph"/>
        <w:numPr>
          <w:ilvl w:val="0"/>
          <w:numId w:val="1"/>
        </w:numPr>
        <w:spacing w:after="90"/>
      </w:pPr>
      <w:r>
        <w:t>Progress: a numbered 1–2–3 circle stepper for multi-step flows, with the completed step in dark gold, the active step in bright gold, and future steps in neutral cream-grey.</w:t>
      </w:r>
    </w:p>
    <w:p w14:paraId="11234A96" w14:textId="77777777" w:rsidR="00675304" w:rsidRDefault="00000000">
      <w:pPr>
        <w:pStyle w:val="Heading2"/>
        <w:keepNext/>
        <w:keepLines/>
        <w:spacing w:before="280" w:after="120"/>
      </w:pPr>
      <w:r>
        <w:rPr>
          <w:rFonts w:ascii="Poppins" w:eastAsia="Poppins" w:hAnsi="Poppins" w:cs="Poppins"/>
          <w:b/>
          <w:bCs/>
          <w:color w:val="B9852A"/>
          <w:sz w:val="24"/>
          <w:szCs w:val="24"/>
        </w:rPr>
        <w:t>Motion</w:t>
      </w:r>
    </w:p>
    <w:p w14:paraId="11F10DA6" w14:textId="77777777" w:rsidR="00675304" w:rsidRDefault="00000000">
      <w:pPr>
        <w:spacing w:after="160" w:line="300" w:lineRule="auto"/>
      </w:pPr>
      <w:r>
        <w:t>Transitions between phases (e.g. moving through the Update Profile steps) use a short opacity cross-fade rather than a slide or bounce — motion is used to smooth continuity, never to draw attention to itself.</w:t>
      </w:r>
    </w:p>
    <w:p w14:paraId="67A552C6" w14:textId="77777777" w:rsidR="00675304" w:rsidRDefault="00000000">
      <w:pPr>
        <w:pStyle w:val="Heading1"/>
        <w:keepNext/>
        <w:keepLines/>
        <w:pBdr>
          <w:bottom w:val="single" w:sz="12" w:space="6" w:color="F0B429"/>
        </w:pBdr>
        <w:spacing w:before="400" w:after="200"/>
      </w:pPr>
      <w:r>
        <w:rPr>
          <w:rFonts w:ascii="Poppins" w:eastAsia="Poppins" w:hAnsi="Poppins" w:cs="Poppins"/>
          <w:b/>
          <w:bCs/>
          <w:color w:val="241F10"/>
        </w:rPr>
        <w:lastRenderedPageBreak/>
        <w:t>Applied Screens</w:t>
      </w:r>
    </w:p>
    <w:p w14:paraId="4C655BFB" w14:textId="77777777" w:rsidR="00675304" w:rsidRDefault="00000000">
      <w:pPr>
        <w:spacing w:after="160" w:line="300" w:lineRule="auto"/>
      </w:pPr>
      <w:r>
        <w:t>The tokens above are shown here in context, applied consistently from onboarding through to account management.</w:t>
      </w:r>
    </w:p>
    <w:p w14:paraId="67869528" w14:textId="2AD32811" w:rsidR="00675304" w:rsidRDefault="009D587E">
      <w:pPr>
        <w:keepNext/>
        <w:jc w:val="center"/>
      </w:pPr>
      <w:r w:rsidRPr="009D587E">
        <w:rPr>
          <w:noProof/>
        </w:rPr>
        <w:drawing>
          <wp:inline distT="0" distB="0" distL="0" distR="0" wp14:anchorId="600DE750" wp14:editId="106FC487">
            <wp:extent cx="1676634" cy="5153744"/>
            <wp:effectExtent l="0" t="0" r="0" b="8890"/>
            <wp:docPr id="1501634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34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0BBB" w14:textId="77777777" w:rsidR="00675304" w:rsidRDefault="00000000">
      <w:pPr>
        <w:spacing w:before="100" w:after="300"/>
        <w:jc w:val="center"/>
      </w:pPr>
      <w:r>
        <w:rPr>
          <w:i/>
          <w:iCs/>
          <w:color w:val="9A978D"/>
          <w:sz w:val="18"/>
          <w:szCs w:val="18"/>
        </w:rPr>
        <w:t>Home — primary dashboard, gold hero card for the active pass</w:t>
      </w:r>
    </w:p>
    <w:p w14:paraId="0F6FC381" w14:textId="04528830" w:rsidR="00675304" w:rsidRDefault="009D587E">
      <w:pPr>
        <w:keepNext/>
        <w:jc w:val="center"/>
      </w:pPr>
      <w:r w:rsidRPr="009D587E">
        <w:rPr>
          <w:noProof/>
        </w:rPr>
        <w:lastRenderedPageBreak/>
        <w:drawing>
          <wp:inline distT="0" distB="0" distL="0" distR="0" wp14:anchorId="45930471" wp14:editId="341E2A89">
            <wp:extent cx="2679700" cy="8229600"/>
            <wp:effectExtent l="0" t="0" r="6350" b="0"/>
            <wp:docPr id="4185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51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D2AD" w14:textId="77777777" w:rsidR="00675304" w:rsidRDefault="00000000">
      <w:pPr>
        <w:spacing w:before="100" w:after="300"/>
        <w:jc w:val="center"/>
      </w:pPr>
      <w:r>
        <w:rPr>
          <w:i/>
          <w:iCs/>
          <w:color w:val="9A978D"/>
          <w:sz w:val="18"/>
          <w:szCs w:val="18"/>
        </w:rPr>
        <w:lastRenderedPageBreak/>
        <w:t>Profile — identity, contact, ride history, and account controls</w:t>
      </w:r>
    </w:p>
    <w:sectPr w:rsidR="0067530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50435"/>
    <w:multiLevelType w:val="hybridMultilevel"/>
    <w:tmpl w:val="023ADF8A"/>
    <w:lvl w:ilvl="0" w:tplc="2B3CE332">
      <w:start w:val="1"/>
      <w:numFmt w:val="bullet"/>
      <w:lvlText w:val="●"/>
      <w:lvlJc w:val="left"/>
      <w:pPr>
        <w:ind w:left="720" w:hanging="360"/>
      </w:pPr>
    </w:lvl>
    <w:lvl w:ilvl="1" w:tplc="A63E020A">
      <w:start w:val="1"/>
      <w:numFmt w:val="bullet"/>
      <w:lvlText w:val="○"/>
      <w:lvlJc w:val="left"/>
      <w:pPr>
        <w:ind w:left="1440" w:hanging="360"/>
      </w:pPr>
    </w:lvl>
    <w:lvl w:ilvl="2" w:tplc="9168CBBE">
      <w:start w:val="1"/>
      <w:numFmt w:val="bullet"/>
      <w:lvlText w:val="■"/>
      <w:lvlJc w:val="left"/>
      <w:pPr>
        <w:ind w:left="2160" w:hanging="360"/>
      </w:pPr>
    </w:lvl>
    <w:lvl w:ilvl="3" w:tplc="D47644F6">
      <w:start w:val="1"/>
      <w:numFmt w:val="bullet"/>
      <w:lvlText w:val="●"/>
      <w:lvlJc w:val="left"/>
      <w:pPr>
        <w:ind w:left="2880" w:hanging="360"/>
      </w:pPr>
    </w:lvl>
    <w:lvl w:ilvl="4" w:tplc="12B61598">
      <w:start w:val="1"/>
      <w:numFmt w:val="bullet"/>
      <w:lvlText w:val="○"/>
      <w:lvlJc w:val="left"/>
      <w:pPr>
        <w:ind w:left="3600" w:hanging="360"/>
      </w:pPr>
    </w:lvl>
    <w:lvl w:ilvl="5" w:tplc="AE208DEA">
      <w:start w:val="1"/>
      <w:numFmt w:val="bullet"/>
      <w:lvlText w:val="■"/>
      <w:lvlJc w:val="left"/>
      <w:pPr>
        <w:ind w:left="4320" w:hanging="360"/>
      </w:pPr>
    </w:lvl>
    <w:lvl w:ilvl="6" w:tplc="B88698CC">
      <w:start w:val="1"/>
      <w:numFmt w:val="bullet"/>
      <w:lvlText w:val="●"/>
      <w:lvlJc w:val="left"/>
      <w:pPr>
        <w:ind w:left="5040" w:hanging="360"/>
      </w:pPr>
    </w:lvl>
    <w:lvl w:ilvl="7" w:tplc="50705F2C">
      <w:start w:val="1"/>
      <w:numFmt w:val="bullet"/>
      <w:lvlText w:val="●"/>
      <w:lvlJc w:val="left"/>
      <w:pPr>
        <w:ind w:left="5760" w:hanging="360"/>
      </w:pPr>
    </w:lvl>
    <w:lvl w:ilvl="8" w:tplc="8F1E0DC4">
      <w:start w:val="1"/>
      <w:numFmt w:val="bullet"/>
      <w:lvlText w:val="●"/>
      <w:lvlJc w:val="left"/>
      <w:pPr>
        <w:ind w:left="6480" w:hanging="360"/>
      </w:pPr>
    </w:lvl>
  </w:abstractNum>
  <w:num w:numId="1" w16cid:durableId="563294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304"/>
    <w:rsid w:val="00567191"/>
    <w:rsid w:val="00675304"/>
    <w:rsid w:val="009D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DC7781"/>
  <w15:docId w15:val="{BC27D50B-B5D6-497F-87B3-C99DFE06B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D3626"/>
        <w:sz w:val="21"/>
        <w:szCs w:val="21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7E6A4BCD-6F38-4BC9-BB69-79534A82EDDE}"/>
</file>

<file path=customXml/itemProps2.xml><?xml version="1.0" encoding="utf-8"?>
<ds:datastoreItem xmlns:ds="http://schemas.openxmlformats.org/officeDocument/2006/customXml" ds:itemID="{8951C76D-2BB1-4443-A730-8EC1CA611045}"/>
</file>

<file path=customXml/itemProps3.xml><?xml version="1.0" encoding="utf-8"?>
<ds:datastoreItem xmlns:ds="http://schemas.openxmlformats.org/officeDocument/2006/customXml" ds:itemID="{474968B9-DD6C-4387-94A8-3CF84AAB81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Aidan Barends</cp:lastModifiedBy>
  <cp:revision>2</cp:revision>
  <dcterms:created xsi:type="dcterms:W3CDTF">2026-08-13T11:14:00Z</dcterms:created>
  <dcterms:modified xsi:type="dcterms:W3CDTF">2026-08-13T11:54:00Z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</Properties>
</file>