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1F" w:rsidRDefault="00C95D1F" w:rsidP="00C95D1F">
      <w:bookmarkStart w:id="0" w:name="_GoBack"/>
      <w:bookmarkEnd w:id="0"/>
    </w:p>
    <w:p w:rsidR="00C95D1F" w:rsidRDefault="00C95D1F" w:rsidP="00C95D1F"/>
    <w:p w:rsidR="00C95D1F" w:rsidRDefault="00C95D1F" w:rsidP="00C95D1F"/>
    <w:p w:rsidR="00C95D1F" w:rsidRDefault="00C95D1F" w:rsidP="00C95D1F"/>
    <w:p w:rsidR="00C95D1F" w:rsidRDefault="00C95D1F" w:rsidP="00C95D1F"/>
    <w:p w:rsidR="00C95D1F" w:rsidRDefault="00C95D1F" w:rsidP="00C95D1F"/>
    <w:p w:rsidR="00C95D1F" w:rsidRDefault="009C13E7" w:rsidP="00C95D1F">
      <w:r w:rsidRPr="00C95D1F">
        <w:rPr>
          <w:rFonts w:eastAsia="Times New Roman" w:cs="Times New Roman"/>
          <w:noProof/>
          <w:color w:val="003350"/>
          <w:sz w:val="70"/>
          <w:szCs w:val="70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38A3F" wp14:editId="68DBA12C">
                <wp:simplePos x="0" y="0"/>
                <wp:positionH relativeFrom="margin">
                  <wp:align>right</wp:align>
                </wp:positionH>
                <wp:positionV relativeFrom="paragraph">
                  <wp:posOffset>360680</wp:posOffset>
                </wp:positionV>
                <wp:extent cx="6273165" cy="21304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165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C02" w:rsidRPr="00192FEE" w:rsidRDefault="00624C02">
                            <w:pPr>
                              <w:rPr>
                                <w:rFonts w:cs="Arial"/>
                                <w:sz w:val="70"/>
                                <w:szCs w:val="70"/>
                              </w:rPr>
                            </w:pPr>
                            <w:r w:rsidRPr="00192FEE">
                              <w:rPr>
                                <w:rFonts w:cs="Arial"/>
                                <w:sz w:val="70"/>
                                <w:szCs w:val="70"/>
                              </w:rPr>
                              <w:t>General Practice</w:t>
                            </w:r>
                          </w:p>
                          <w:p w:rsidR="00624C02" w:rsidRPr="00192FEE" w:rsidRDefault="00624C02">
                            <w:pPr>
                              <w:rPr>
                                <w:rFonts w:cs="Arial"/>
                                <w:sz w:val="70"/>
                                <w:szCs w:val="70"/>
                              </w:rPr>
                            </w:pPr>
                            <w:r w:rsidRPr="00192FEE">
                              <w:rPr>
                                <w:rFonts w:cs="Arial"/>
                                <w:sz w:val="70"/>
                                <w:szCs w:val="70"/>
                              </w:rPr>
                              <w:t>Common Interface Mechanism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38A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75pt;margin-top:28.4pt;width:493.95pt;height:16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" stroked="f">
                <v:textbox>
                  <w:txbxContent>
                    <w:p w:rsidR="00624C02" w:rsidRPr="00192FEE" w:rsidRDefault="00624C02">
                      <w:pPr>
                        <w:rPr>
                          <w:rFonts w:cs="Arial"/>
                          <w:sz w:val="70"/>
                          <w:szCs w:val="70"/>
                        </w:rPr>
                      </w:pPr>
                      <w:r w:rsidRPr="00192FEE">
                        <w:rPr>
                          <w:rFonts w:cs="Arial"/>
                          <w:sz w:val="70"/>
                          <w:szCs w:val="70"/>
                        </w:rPr>
                        <w:t>General Practice</w:t>
                      </w:r>
                    </w:p>
                    <w:p w:rsidR="00624C02" w:rsidRPr="00192FEE" w:rsidRDefault="00624C02">
                      <w:pPr>
                        <w:rPr>
                          <w:rFonts w:cs="Arial"/>
                          <w:sz w:val="70"/>
                          <w:szCs w:val="70"/>
                        </w:rPr>
                      </w:pPr>
                      <w:r w:rsidRPr="00192FEE">
                        <w:rPr>
                          <w:rFonts w:cs="Arial"/>
                          <w:sz w:val="70"/>
                          <w:szCs w:val="70"/>
                        </w:rPr>
                        <w:t>Common Interface Mechanism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95D1F" w:rsidRDefault="00C95D1F" w:rsidP="00C95D1F"/>
    <w:p w:rsidR="00B81356" w:rsidRDefault="00B81356" w:rsidP="00C95D1F"/>
    <w:p w:rsidR="00B81356" w:rsidRDefault="00B81356" w:rsidP="00C95D1F"/>
    <w:p w:rsidR="00C95D1F" w:rsidRDefault="00C95D1F" w:rsidP="00C95D1F"/>
    <w:tbl>
      <w:tblPr>
        <w:tblStyle w:val="PlainTable3"/>
        <w:tblW w:w="0" w:type="auto"/>
        <w:jc w:val="center"/>
        <w:tblBorders>
          <w:top w:val="single" w:sz="8" w:space="0" w:color="D9D9D9" w:themeColor="background1" w:themeShade="D9"/>
          <w:bottom w:val="single" w:sz="8" w:space="0" w:color="D9D9D9" w:themeColor="background1" w:themeShade="D9"/>
          <w:insideH w:val="single" w:sz="8" w:space="0" w:color="D9D9D9" w:themeColor="background1" w:themeShade="D9"/>
          <w:insideV w:val="single" w:sz="8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4536"/>
        <w:gridCol w:w="4536"/>
      </w:tblGrid>
      <w:tr w:rsidR="00C83D57" w:rsidRPr="00865545" w:rsidTr="00A067D6">
        <w:trPr>
          <w:trHeight w:val="340"/>
          <w:jc w:val="center"/>
        </w:trPr>
        <w:tc>
          <w:tcPr>
            <w:tcW w:w="9072" w:type="dxa"/>
            <w:gridSpan w:val="2"/>
          </w:tcPr>
          <w:p w:rsidR="00C83D57" w:rsidRDefault="00C83D57" w:rsidP="00865545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Synopsis</w:t>
            </w:r>
          </w:p>
          <w:p w:rsidR="00B81356" w:rsidRDefault="00B81356" w:rsidP="00B81356">
            <w:pPr>
              <w:rPr>
                <w:sz w:val="20"/>
              </w:rPr>
            </w:pPr>
            <w:r w:rsidRPr="00B81356">
              <w:rPr>
                <w:sz w:val="20"/>
              </w:rPr>
              <w:t>The General Practice Common Interface Mechanism (GP-CIM) is a single open</w:t>
            </w:r>
            <w:r w:rsidR="00EF3558">
              <w:rPr>
                <w:sz w:val="20"/>
              </w:rPr>
              <w:t xml:space="preserve"> source interface to GP systems</w:t>
            </w:r>
            <w:r w:rsidRPr="00B81356">
              <w:rPr>
                <w:sz w:val="20"/>
              </w:rPr>
              <w:t xml:space="preserve"> which enable</w:t>
            </w:r>
            <w:r w:rsidR="00EF3558">
              <w:rPr>
                <w:sz w:val="20"/>
              </w:rPr>
              <w:t>s</w:t>
            </w:r>
            <w:r w:rsidRPr="00B81356">
              <w:rPr>
                <w:sz w:val="20"/>
              </w:rPr>
              <w:t xml:space="preserve"> the exchange of data between GP practices hosted by the four NHS GP suppliers and other healthcare professionals and systems in the NHS.</w:t>
            </w:r>
          </w:p>
          <w:p w:rsidR="00B81356" w:rsidRPr="00B81356" w:rsidRDefault="00B81356" w:rsidP="00EF3558">
            <w:pPr>
              <w:rPr>
                <w:sz w:val="20"/>
              </w:rPr>
            </w:pPr>
            <w:r>
              <w:rPr>
                <w:sz w:val="20"/>
              </w:rPr>
              <w:t xml:space="preserve">This document describes the case for, requirements and </w:t>
            </w:r>
            <w:r w:rsidR="003B4893">
              <w:rPr>
                <w:sz w:val="20"/>
              </w:rPr>
              <w:t>high level design concepts</w:t>
            </w:r>
            <w:r>
              <w:rPr>
                <w:sz w:val="20"/>
              </w:rPr>
              <w:t xml:space="preserve"> </w:t>
            </w:r>
            <w:r w:rsidR="00EF3558">
              <w:rPr>
                <w:sz w:val="20"/>
              </w:rPr>
              <w:t>for</w:t>
            </w:r>
            <w:r>
              <w:rPr>
                <w:sz w:val="20"/>
              </w:rPr>
              <w:t xml:space="preserve"> the GP-CIM.</w:t>
            </w:r>
          </w:p>
        </w:tc>
      </w:tr>
      <w:tr w:rsidR="00865545" w:rsidRPr="00865545" w:rsidTr="00C83D57">
        <w:trPr>
          <w:trHeight w:val="340"/>
          <w:jc w:val="center"/>
        </w:trPr>
        <w:tc>
          <w:tcPr>
            <w:tcW w:w="4536" w:type="dxa"/>
          </w:tcPr>
          <w:p w:rsidR="00865545" w:rsidRPr="00865545" w:rsidRDefault="00865545" w:rsidP="00865545">
            <w:pPr>
              <w:rPr>
                <w:rFonts w:cs="Arial"/>
                <w:b/>
              </w:rPr>
            </w:pPr>
            <w:r w:rsidRPr="00865545">
              <w:rPr>
                <w:rFonts w:cs="Arial"/>
                <w:b/>
                <w:szCs w:val="20"/>
              </w:rPr>
              <w:t xml:space="preserve">Author </w:t>
            </w:r>
          </w:p>
        </w:tc>
        <w:tc>
          <w:tcPr>
            <w:tcW w:w="4536" w:type="dxa"/>
          </w:tcPr>
          <w:p w:rsidR="00865545" w:rsidRPr="00865545" w:rsidRDefault="00865545" w:rsidP="00865545">
            <w:pPr>
              <w:rPr>
                <w:rFonts w:cs="Arial"/>
              </w:rPr>
            </w:pPr>
            <w:r w:rsidRPr="00865545">
              <w:rPr>
                <w:rFonts w:cs="Arial"/>
              </w:rPr>
              <w:t>Jonny Rylands</w:t>
            </w:r>
          </w:p>
        </w:tc>
      </w:tr>
      <w:tr w:rsidR="00865545" w:rsidRPr="00865545" w:rsidTr="00C83D57">
        <w:trPr>
          <w:trHeight w:val="340"/>
          <w:jc w:val="center"/>
        </w:trPr>
        <w:tc>
          <w:tcPr>
            <w:tcW w:w="4536" w:type="dxa"/>
          </w:tcPr>
          <w:p w:rsidR="00865545" w:rsidRPr="00865545" w:rsidRDefault="00865545" w:rsidP="00C95D1F">
            <w:pPr>
              <w:rPr>
                <w:rFonts w:cs="Arial"/>
                <w:b/>
              </w:rPr>
            </w:pPr>
            <w:r w:rsidRPr="00865545">
              <w:rPr>
                <w:rFonts w:cs="Arial"/>
                <w:b/>
                <w:szCs w:val="20"/>
              </w:rPr>
              <w:t>Status</w:t>
            </w:r>
          </w:p>
        </w:tc>
        <w:tc>
          <w:tcPr>
            <w:tcW w:w="4536" w:type="dxa"/>
          </w:tcPr>
          <w:p w:rsidR="00865545" w:rsidRPr="00865545" w:rsidRDefault="001D25A7" w:rsidP="00C95D1F">
            <w:pPr>
              <w:rPr>
                <w:rFonts w:cs="Arial"/>
              </w:rPr>
            </w:pPr>
            <w:r>
              <w:rPr>
                <w:rFonts w:cs="Arial"/>
                <w:szCs w:val="20"/>
              </w:rPr>
              <w:t>DRAFT</w:t>
            </w:r>
            <w:r w:rsidR="009B3BBE">
              <w:rPr>
                <w:rFonts w:cs="Arial"/>
                <w:szCs w:val="20"/>
              </w:rPr>
              <w:t xml:space="preserve"> FOR REVIEW</w:t>
            </w:r>
          </w:p>
        </w:tc>
      </w:tr>
      <w:tr w:rsidR="00865545" w:rsidRPr="00865545" w:rsidTr="00C83D57">
        <w:trPr>
          <w:trHeight w:val="340"/>
          <w:jc w:val="center"/>
        </w:trPr>
        <w:tc>
          <w:tcPr>
            <w:tcW w:w="4536" w:type="dxa"/>
          </w:tcPr>
          <w:p w:rsidR="00865545" w:rsidRPr="00865545" w:rsidRDefault="00865545" w:rsidP="00C95D1F">
            <w:pPr>
              <w:rPr>
                <w:rFonts w:cs="Arial"/>
                <w:b/>
              </w:rPr>
            </w:pPr>
            <w:r w:rsidRPr="00865545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4536" w:type="dxa"/>
          </w:tcPr>
          <w:p w:rsidR="00865545" w:rsidRPr="00865545" w:rsidRDefault="009B3BBE" w:rsidP="00C95D1F">
            <w:pPr>
              <w:rPr>
                <w:rFonts w:cs="Arial"/>
              </w:rPr>
            </w:pPr>
            <w:r>
              <w:rPr>
                <w:rFonts w:cs="Arial"/>
              </w:rPr>
              <w:t>0.9</w:t>
            </w:r>
          </w:p>
        </w:tc>
      </w:tr>
      <w:tr w:rsidR="00865545" w:rsidRPr="00865545" w:rsidTr="00C83D57">
        <w:trPr>
          <w:trHeight w:val="340"/>
          <w:jc w:val="center"/>
        </w:trPr>
        <w:tc>
          <w:tcPr>
            <w:tcW w:w="4536" w:type="dxa"/>
          </w:tcPr>
          <w:p w:rsidR="00865545" w:rsidRPr="00865545" w:rsidRDefault="00865545" w:rsidP="00C95D1F">
            <w:pPr>
              <w:rPr>
                <w:rFonts w:cs="Arial"/>
                <w:b/>
              </w:rPr>
            </w:pPr>
            <w:r w:rsidRPr="00865545">
              <w:rPr>
                <w:rFonts w:cs="Arial"/>
                <w:b/>
                <w:szCs w:val="20"/>
              </w:rPr>
              <w:t>Version issue date</w:t>
            </w:r>
          </w:p>
        </w:tc>
        <w:tc>
          <w:tcPr>
            <w:tcW w:w="4536" w:type="dxa"/>
          </w:tcPr>
          <w:p w:rsidR="00865545" w:rsidRPr="00865545" w:rsidRDefault="009B3BBE" w:rsidP="00C95D1F">
            <w:pPr>
              <w:rPr>
                <w:rFonts w:cs="Arial"/>
              </w:rPr>
            </w:pPr>
            <w:r>
              <w:rPr>
                <w:rFonts w:cs="Arial"/>
              </w:rPr>
              <w:t>09</w:t>
            </w:r>
            <w:r w:rsidR="00865545" w:rsidRPr="00865545">
              <w:rPr>
                <w:rFonts w:cs="Arial"/>
              </w:rPr>
              <w:t>/12/2015</w:t>
            </w:r>
          </w:p>
        </w:tc>
      </w:tr>
    </w:tbl>
    <w:p w:rsidR="00C95D1F" w:rsidRDefault="00C95D1F" w:rsidP="00C95D1F"/>
    <w:p w:rsidR="00582C10" w:rsidRDefault="00582C10"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GB"/>
        </w:rPr>
        <w:id w:val="-103217881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F642E2" w:rsidRPr="001D25A7" w:rsidRDefault="00F642E2">
          <w:pPr>
            <w:pStyle w:val="TOCHeading"/>
            <w:rPr>
              <w:rStyle w:val="Heading1Char"/>
              <w:color w:val="auto"/>
            </w:rPr>
          </w:pPr>
          <w:r w:rsidRPr="001D25A7">
            <w:rPr>
              <w:rStyle w:val="Heading1Char"/>
              <w:color w:val="auto"/>
            </w:rPr>
            <w:t>Contents</w:t>
          </w:r>
        </w:p>
        <w:p w:rsidR="00E92038" w:rsidRPr="00E92038" w:rsidRDefault="00E92038" w:rsidP="00E92038">
          <w:pPr>
            <w:rPr>
              <w:lang w:val="en-US"/>
            </w:rPr>
          </w:pPr>
        </w:p>
        <w:p w:rsidR="00E45599" w:rsidRDefault="00F642E2">
          <w:pPr>
            <w:pStyle w:val="TOC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F642E2">
            <w:rPr>
              <w:rFonts w:cs="Arial"/>
            </w:rPr>
            <w:fldChar w:fldCharType="begin"/>
          </w:r>
          <w:r w:rsidRPr="00F642E2">
            <w:rPr>
              <w:rFonts w:cs="Arial"/>
            </w:rPr>
            <w:instrText xml:space="preserve"> TOC \o "1-3" \h \z \u </w:instrText>
          </w:r>
          <w:r w:rsidRPr="00F642E2">
            <w:rPr>
              <w:rFonts w:cs="Arial"/>
            </w:rPr>
            <w:fldChar w:fldCharType="separate"/>
          </w:r>
          <w:hyperlink w:anchor="_Toc437434744" w:history="1">
            <w:r w:rsidR="00E45599" w:rsidRPr="006D3E15">
              <w:rPr>
                <w:rStyle w:val="Hyperlink"/>
                <w:noProof/>
              </w:rPr>
              <w:t>Introduction</w:t>
            </w:r>
            <w:r w:rsidR="00E45599">
              <w:rPr>
                <w:noProof/>
                <w:webHidden/>
              </w:rPr>
              <w:tab/>
            </w:r>
            <w:r w:rsidR="00E45599">
              <w:rPr>
                <w:noProof/>
                <w:webHidden/>
              </w:rPr>
              <w:fldChar w:fldCharType="begin"/>
            </w:r>
            <w:r w:rsidR="00E45599">
              <w:rPr>
                <w:noProof/>
                <w:webHidden/>
              </w:rPr>
              <w:instrText xml:space="preserve"> PAGEREF _Toc437434744 \h </w:instrText>
            </w:r>
            <w:r w:rsidR="00E45599">
              <w:rPr>
                <w:noProof/>
                <w:webHidden/>
              </w:rPr>
            </w:r>
            <w:r w:rsidR="00E45599">
              <w:rPr>
                <w:noProof/>
                <w:webHidden/>
              </w:rPr>
              <w:fldChar w:fldCharType="separate"/>
            </w:r>
            <w:r w:rsidR="00E45599">
              <w:rPr>
                <w:noProof/>
                <w:webHidden/>
              </w:rPr>
              <w:t>3</w:t>
            </w:r>
            <w:r w:rsidR="00E45599"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45" w:history="1">
            <w:r w:rsidRPr="006D3E1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46" w:history="1">
            <w:r w:rsidRPr="006D3E15">
              <w:rPr>
                <w:rStyle w:val="Hyperlink"/>
                <w:noProof/>
              </w:rPr>
              <w:t>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47" w:history="1">
            <w:r w:rsidRPr="006D3E15">
              <w:rPr>
                <w:rStyle w:val="Hyperlink"/>
                <w:noProof/>
              </w:rPr>
              <w:t>Existing GP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48" w:history="1">
            <w:r w:rsidRPr="006D3E15">
              <w:rPr>
                <w:rStyle w:val="Hyperlink"/>
                <w:noProof/>
              </w:rPr>
              <w:t>General Practice Common Interface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49" w:history="1">
            <w:r w:rsidRPr="006D3E15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0" w:history="1">
            <w:r w:rsidRPr="006D3E15">
              <w:rPr>
                <w:rStyle w:val="Hyperlink"/>
                <w:noProof/>
              </w:rPr>
              <w:t>Staged delivery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1" w:history="1">
            <w:r w:rsidRPr="006D3E15">
              <w:rPr>
                <w:rStyle w:val="Hyperlink"/>
                <w:noProof/>
              </w:rPr>
              <w:t>Stage 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2" w:history="1">
            <w:r w:rsidRPr="006D3E15">
              <w:rPr>
                <w:rStyle w:val="Hyperlink"/>
                <w:noProof/>
              </w:rPr>
              <w:t>Interface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3" w:history="1">
            <w:r w:rsidRPr="006D3E15">
              <w:rPr>
                <w:rStyle w:val="Hyperlink"/>
                <w:noProof/>
              </w:rPr>
              <w:t>Patient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4" w:history="1">
            <w:r w:rsidRPr="006D3E15">
              <w:rPr>
                <w:rStyle w:val="Hyperlink"/>
                <w:noProof/>
              </w:rPr>
              <w:t>Get patient record (HTML)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5" w:history="1">
            <w:r w:rsidRPr="006D3E15">
              <w:rPr>
                <w:rStyle w:val="Hyperlink"/>
                <w:noProof/>
              </w:rPr>
              <w:t>Patient eligibility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6" w:history="1">
            <w:r w:rsidRPr="006D3E15">
              <w:rPr>
                <w:rStyle w:val="Hyperlink"/>
                <w:noProof/>
              </w:rPr>
              <w:t>Patient consent to share preference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7" w:history="1">
            <w:r w:rsidRPr="006D3E15">
              <w:rPr>
                <w:rStyle w:val="Hyperlink"/>
                <w:noProof/>
              </w:rPr>
              <w:t>Sharing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8" w:history="1">
            <w:r w:rsidRPr="006D3E15">
              <w:rPr>
                <w:rStyle w:val="Hyperlink"/>
                <w:noProof/>
              </w:rPr>
              <w:t>Management and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59" w:history="1">
            <w:r w:rsidRPr="006D3E15">
              <w:rPr>
                <w:rStyle w:val="Hyperlink"/>
                <w:noProof/>
              </w:rPr>
              <w:t>Stage one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0" w:history="1">
            <w:r w:rsidRPr="006D3E15">
              <w:rPr>
                <w:rStyle w:val="Hyperlink"/>
                <w:noProof/>
              </w:rPr>
              <w:t>Data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1" w:history="1">
            <w:r w:rsidRPr="006D3E15">
              <w:rPr>
                <w:rStyle w:val="Hyperlink"/>
                <w:noProof/>
              </w:rPr>
              <w:t>GP-CIM message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2" w:history="1">
            <w:r w:rsidRPr="006D3E15">
              <w:rPr>
                <w:rStyle w:val="Hyperlink"/>
                <w:noProof/>
              </w:rPr>
              <w:t>Message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3" w:history="1">
            <w:r w:rsidRPr="006D3E15">
              <w:rPr>
                <w:rStyle w:val="Hyperlink"/>
                <w:noProof/>
              </w:rPr>
              <w:t>Full message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1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4" w:history="1">
            <w:r w:rsidRPr="006D3E15">
              <w:rPr>
                <w:rStyle w:val="Hyperlink"/>
                <w:noProof/>
              </w:rPr>
              <w:t>Stage one architecture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5" w:history="1">
            <w:r w:rsidRPr="006D3E15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6" w:history="1">
            <w:r w:rsidRPr="006D3E15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7" w:history="1">
            <w:r w:rsidRPr="006D3E15">
              <w:rPr>
                <w:rStyle w:val="Hyperlink"/>
                <w:noProof/>
              </w:rPr>
              <w:t>Hosting and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599" w:rsidRDefault="00E45599">
          <w:pPr>
            <w:pStyle w:val="TOC2"/>
            <w:tabs>
              <w:tab w:val="right" w:leader="dot" w:pos="985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37434768" w:history="1">
            <w:r w:rsidRPr="006D3E15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_Toc437434768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42E2" w:rsidRDefault="00F642E2">
          <w:r w:rsidRPr="00F642E2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F642E2" w:rsidRDefault="00F642E2">
      <w:pPr>
        <w:spacing w:line="259" w:lineRule="auto"/>
        <w:rPr>
          <w:rFonts w:cs="Arial"/>
          <w:sz w:val="52"/>
          <w:szCs w:val="72"/>
        </w:rPr>
      </w:pPr>
      <w:r>
        <w:br w:type="page"/>
      </w:r>
    </w:p>
    <w:p w:rsidR="00C83D57" w:rsidRDefault="001533F3" w:rsidP="00582C10">
      <w:pPr>
        <w:pStyle w:val="Heading1"/>
      </w:pPr>
      <w:bookmarkStart w:id="1" w:name="_Toc437434744"/>
      <w:r>
        <w:lastRenderedPageBreak/>
        <w:t>Introduction</w:t>
      </w:r>
      <w:bookmarkEnd w:id="1"/>
    </w:p>
    <w:p w:rsidR="009C13E7" w:rsidRPr="009C13E7" w:rsidRDefault="009C13E7" w:rsidP="009C13E7">
      <w:pPr>
        <w:pStyle w:val="Heading2"/>
      </w:pPr>
      <w:bookmarkStart w:id="2" w:name="_Toc437434745"/>
      <w:r w:rsidRPr="009C13E7">
        <w:t>Overview</w:t>
      </w:r>
      <w:bookmarkEnd w:id="2"/>
    </w:p>
    <w:p w:rsidR="00582C10" w:rsidRDefault="009C13E7" w:rsidP="00582C10">
      <w:r w:rsidRPr="009C13E7">
        <w:t xml:space="preserve">The General Practice </w:t>
      </w:r>
      <w:r w:rsidR="00192FEE">
        <w:t>Common</w:t>
      </w:r>
      <w:r w:rsidRPr="009C13E7">
        <w:t xml:space="preserve"> Interface Mechanism (GP-</w:t>
      </w:r>
      <w:r w:rsidR="00192FEE">
        <w:t>C</w:t>
      </w:r>
      <w:r w:rsidR="000E1EBF">
        <w:t>IM) is a single</w:t>
      </w:r>
      <w:r w:rsidRPr="009C13E7">
        <w:t xml:space="preserve"> open source </w:t>
      </w:r>
      <w:r w:rsidR="009A4B7D">
        <w:t xml:space="preserve">interface to </w:t>
      </w:r>
      <w:r w:rsidRPr="009C13E7">
        <w:t xml:space="preserve">GP </w:t>
      </w:r>
      <w:r w:rsidR="009A4B7D">
        <w:t>systems</w:t>
      </w:r>
      <w:r w:rsidRPr="009C13E7">
        <w:t xml:space="preserve"> which enable</w:t>
      </w:r>
      <w:r w:rsidR="00EF3558">
        <w:t>s</w:t>
      </w:r>
      <w:r w:rsidRPr="009C13E7">
        <w:t xml:space="preserve"> </w:t>
      </w:r>
      <w:r w:rsidR="009A4B7D">
        <w:t>the exchange</w:t>
      </w:r>
      <w:r w:rsidRPr="009C13E7">
        <w:t xml:space="preserve"> of </w:t>
      </w:r>
      <w:r w:rsidR="009A4B7D">
        <w:t xml:space="preserve">data between GP practices hosted by the four NHS suppliers and </w:t>
      </w:r>
      <w:r w:rsidRPr="009C13E7">
        <w:t>other healthcare professionals and systems in the NHS.</w:t>
      </w:r>
    </w:p>
    <w:p w:rsidR="00AC4914" w:rsidRDefault="00AC4914" w:rsidP="00582C10">
      <w:r>
        <w:t xml:space="preserve">The functionality of the GP-CIM is intended to be delivered in three stages – the first two </w:t>
      </w:r>
      <w:r w:rsidR="00CA1A71">
        <w:t xml:space="preserve">stages </w:t>
      </w:r>
      <w:r>
        <w:t>requiring no development effort by GP suppliers.</w:t>
      </w:r>
    </w:p>
    <w:p w:rsidR="000B6A77" w:rsidRDefault="000B6A77" w:rsidP="000B6A77">
      <w:pPr>
        <w:pStyle w:val="Heading2"/>
      </w:pPr>
      <w:bookmarkStart w:id="3" w:name="_Toc437434746"/>
      <w:r>
        <w:t>Aims</w:t>
      </w:r>
      <w:bookmarkEnd w:id="3"/>
    </w:p>
    <w:p w:rsidR="000B6A77" w:rsidRDefault="000B6A77" w:rsidP="000B6A77">
      <w:r>
        <w:t xml:space="preserve">The aims of </w:t>
      </w:r>
      <w:r w:rsidR="00192FEE">
        <w:t>the GP-C</w:t>
      </w:r>
      <w:r w:rsidR="00E41671">
        <w:t>IM</w:t>
      </w:r>
      <w:r>
        <w:t xml:space="preserve"> project are to:</w:t>
      </w:r>
    </w:p>
    <w:p w:rsidR="000B6A77" w:rsidRDefault="000B6A77" w:rsidP="000B6A77">
      <w:pPr>
        <w:pStyle w:val="ListParagraph"/>
        <w:numPr>
          <w:ilvl w:val="0"/>
          <w:numId w:val="2"/>
        </w:numPr>
      </w:pPr>
      <w:r>
        <w:t xml:space="preserve">Provide </w:t>
      </w:r>
      <w:r w:rsidR="00AD0BE1">
        <w:t xml:space="preserve">wider, </w:t>
      </w:r>
      <w:r w:rsidRPr="001D25A7">
        <w:t>more consistent</w:t>
      </w:r>
      <w:r w:rsidR="00AD0BE1">
        <w:t xml:space="preserve"> and standardised</w:t>
      </w:r>
      <w:r w:rsidRPr="001D25A7">
        <w:t xml:space="preserve"> interoperability</w:t>
      </w:r>
      <w:r>
        <w:t xml:space="preserve"> to and from GP systems to promote </w:t>
      </w:r>
      <w:r w:rsidR="00AD0BE1">
        <w:t xml:space="preserve">better patient </w:t>
      </w:r>
      <w:r>
        <w:t>care</w:t>
      </w:r>
      <w:r w:rsidR="00AD0BE1">
        <w:t xml:space="preserve"> and administration</w:t>
      </w:r>
      <w:r>
        <w:t>;</w:t>
      </w:r>
    </w:p>
    <w:p w:rsidR="000B6A77" w:rsidRDefault="000B6A77" w:rsidP="000B6A77">
      <w:pPr>
        <w:pStyle w:val="ListParagraph"/>
        <w:numPr>
          <w:ilvl w:val="0"/>
          <w:numId w:val="2"/>
        </w:numPr>
      </w:pPr>
      <w:r w:rsidRPr="001D25A7">
        <w:t>Lower technical and financial hurdles</w:t>
      </w:r>
      <w:r>
        <w:t xml:space="preserve"> to interoperability;</w:t>
      </w:r>
    </w:p>
    <w:p w:rsidR="000B6A77" w:rsidRDefault="000B6A77" w:rsidP="000B6A77">
      <w:pPr>
        <w:pStyle w:val="ListParagraph"/>
        <w:numPr>
          <w:ilvl w:val="0"/>
          <w:numId w:val="2"/>
        </w:numPr>
      </w:pPr>
      <w:r>
        <w:t xml:space="preserve">Enable a </w:t>
      </w:r>
      <w:r w:rsidR="00AD0BE1" w:rsidRPr="001D25A7">
        <w:t>successful</w:t>
      </w:r>
      <w:r w:rsidRPr="001D25A7">
        <w:t xml:space="preserve"> </w:t>
      </w:r>
      <w:r w:rsidR="00AD0BE1">
        <w:t xml:space="preserve">subsidiary </w:t>
      </w:r>
      <w:r w:rsidRPr="001D25A7">
        <w:t>application marketplace</w:t>
      </w:r>
      <w:r>
        <w:t xml:space="preserve"> which promotes innovation and best of breed solutions;</w:t>
      </w:r>
    </w:p>
    <w:p w:rsidR="000B6A77" w:rsidRDefault="000B6A77" w:rsidP="000B6A77">
      <w:pPr>
        <w:pStyle w:val="ListParagraph"/>
        <w:numPr>
          <w:ilvl w:val="0"/>
          <w:numId w:val="2"/>
        </w:numPr>
      </w:pPr>
      <w:r>
        <w:t xml:space="preserve">Provide </w:t>
      </w:r>
      <w:r w:rsidRPr="001D25A7">
        <w:t>equitable access</w:t>
      </w:r>
      <w:r>
        <w:t xml:space="preserve"> to </w:t>
      </w:r>
      <w:r w:rsidR="00E41671">
        <w:t>GP data;</w:t>
      </w:r>
    </w:p>
    <w:p w:rsidR="0028444B" w:rsidRDefault="0028444B" w:rsidP="000B6A77">
      <w:pPr>
        <w:pStyle w:val="ListParagraph"/>
        <w:numPr>
          <w:ilvl w:val="0"/>
          <w:numId w:val="2"/>
        </w:numPr>
      </w:pPr>
      <w:r w:rsidRPr="001D25A7">
        <w:t>Contribute</w:t>
      </w:r>
      <w:r>
        <w:t xml:space="preserve"> </w:t>
      </w:r>
      <w:r w:rsidR="00E41671">
        <w:t xml:space="preserve">interoperability technology </w:t>
      </w:r>
      <w:r w:rsidRPr="001D25A7">
        <w:t>to the open source healthcare community</w:t>
      </w:r>
      <w:r w:rsidR="00E41671">
        <w:t>.</w:t>
      </w:r>
    </w:p>
    <w:p w:rsidR="00F642E2" w:rsidRDefault="00AC4914" w:rsidP="00AC4914">
      <w:pPr>
        <w:jc w:val="center"/>
        <w:rPr>
          <w:rFonts w:cs="Arial"/>
          <w:sz w:val="52"/>
          <w:szCs w:val="72"/>
        </w:rPr>
      </w:pPr>
      <w:r>
        <w:object w:dxaOrig="14610" w:dyaOrig="9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237.6pt" o:ole="">
            <v:imagedata r:id="rId9" o:title=""/>
          </v:shape>
          <o:OLEObject Type="Embed" ProgID="Visio.Drawing.15" ShapeID="_x0000_i1025" DrawAspect="Content" ObjectID="_1511176594" r:id="rId10"/>
        </w:object>
      </w:r>
      <w:r w:rsidR="00F642E2">
        <w:br w:type="page"/>
      </w:r>
    </w:p>
    <w:p w:rsidR="001533F3" w:rsidRDefault="001533F3" w:rsidP="00F642E2">
      <w:pPr>
        <w:pStyle w:val="Heading1"/>
      </w:pPr>
      <w:bookmarkStart w:id="4" w:name="_Toc437434747"/>
      <w:r>
        <w:lastRenderedPageBreak/>
        <w:t>Existing GP interfaces</w:t>
      </w:r>
      <w:bookmarkEnd w:id="4"/>
    </w:p>
    <w:p w:rsidR="001533F3" w:rsidRDefault="001533F3" w:rsidP="001533F3">
      <w:r>
        <w:t>There are a number of existing interfaces to GP systems in operation:</w:t>
      </w:r>
    </w:p>
    <w:p w:rsidR="001533F3" w:rsidRDefault="001533F3" w:rsidP="001533F3">
      <w:pPr>
        <w:pStyle w:val="ListParagraph"/>
        <w:numPr>
          <w:ilvl w:val="0"/>
          <w:numId w:val="3"/>
        </w:numPr>
      </w:pPr>
      <w:r>
        <w:t>Supplier</w:t>
      </w:r>
      <w:r w:rsidR="002F544A">
        <w:t>s’</w:t>
      </w:r>
      <w:r>
        <w:t xml:space="preserve"> partner interfaces</w:t>
      </w:r>
      <w:r w:rsidR="00CA1A71">
        <w:t>;</w:t>
      </w:r>
    </w:p>
    <w:p w:rsidR="001533F3" w:rsidRDefault="001533F3" w:rsidP="001533F3">
      <w:pPr>
        <w:pStyle w:val="ListParagraph"/>
        <w:numPr>
          <w:ilvl w:val="0"/>
          <w:numId w:val="3"/>
        </w:numPr>
      </w:pPr>
      <w:r>
        <w:t>HSCIC’s IM1 interface</w:t>
      </w:r>
      <w:r w:rsidR="00CA1A71">
        <w:t>;</w:t>
      </w:r>
    </w:p>
    <w:p w:rsidR="001533F3" w:rsidRDefault="001533F3" w:rsidP="001533F3">
      <w:pPr>
        <w:pStyle w:val="ListParagraph"/>
        <w:numPr>
          <w:ilvl w:val="0"/>
          <w:numId w:val="3"/>
        </w:numPr>
      </w:pPr>
      <w:r>
        <w:t>Healthcare Gateway’s MIG interface</w:t>
      </w:r>
      <w:r w:rsidR="00CA1A71">
        <w:t>.</w:t>
      </w:r>
    </w:p>
    <w:p w:rsidR="001533F3" w:rsidRDefault="001533F3" w:rsidP="001533F3">
      <w:r>
        <w:t>The advances to patient care and administration that cur</w:t>
      </w:r>
      <w:r w:rsidR="00A4717D">
        <w:t>rent interfaces to GP systems</w:t>
      </w:r>
      <w:r>
        <w:t xml:space="preserve"> have brought should not be underestimated, however there are a number of </w:t>
      </w:r>
      <w:r w:rsidR="00F642E2">
        <w:t xml:space="preserve">technical and non-technical </w:t>
      </w:r>
      <w:r>
        <w:t>limitations with them:</w:t>
      </w:r>
    </w:p>
    <w:p w:rsidR="001533F3" w:rsidRDefault="001533F3" w:rsidP="001533F3">
      <w:pPr>
        <w:pStyle w:val="ListParagraph"/>
        <w:numPr>
          <w:ilvl w:val="0"/>
          <w:numId w:val="3"/>
        </w:numPr>
      </w:pPr>
      <w:r>
        <w:t xml:space="preserve">A </w:t>
      </w:r>
      <w:r w:rsidRPr="001D25A7">
        <w:t>different messaging format and communication protocol</w:t>
      </w:r>
      <w:r>
        <w:t xml:space="preserve"> is required for each supplier (applicable to Partner and IM1 interfaces)</w:t>
      </w:r>
      <w:r w:rsidR="000E1EBF">
        <w:t>;</w:t>
      </w:r>
    </w:p>
    <w:p w:rsidR="00CA1A71" w:rsidRDefault="00CA1A71" w:rsidP="001533F3">
      <w:pPr>
        <w:pStyle w:val="ListParagraph"/>
        <w:numPr>
          <w:ilvl w:val="0"/>
          <w:numId w:val="3"/>
        </w:numPr>
      </w:pPr>
      <w:r>
        <w:t>Different security and IG mechanisms govern the interfaces (all interfaces);</w:t>
      </w:r>
    </w:p>
    <w:p w:rsidR="001533F3" w:rsidRDefault="001533F3" w:rsidP="001533F3">
      <w:pPr>
        <w:pStyle w:val="ListParagraph"/>
        <w:numPr>
          <w:ilvl w:val="0"/>
          <w:numId w:val="3"/>
        </w:numPr>
      </w:pPr>
      <w:r>
        <w:t xml:space="preserve">Access to data can be made from </w:t>
      </w:r>
      <w:r w:rsidRPr="001D25A7">
        <w:t>within the practice only</w:t>
      </w:r>
      <w:r>
        <w:t xml:space="preserve"> (applicable to Partner and IM1 interfaces)</w:t>
      </w:r>
      <w:r w:rsidR="000E1EBF">
        <w:t>;</w:t>
      </w:r>
    </w:p>
    <w:p w:rsidR="001533F3" w:rsidRDefault="00F642E2" w:rsidP="001533F3">
      <w:pPr>
        <w:pStyle w:val="ListParagraph"/>
        <w:numPr>
          <w:ilvl w:val="0"/>
          <w:numId w:val="3"/>
        </w:numPr>
      </w:pPr>
      <w:r>
        <w:t>I</w:t>
      </w:r>
      <w:r w:rsidR="001533F3">
        <w:t>nterface</w:t>
      </w:r>
      <w:r>
        <w:t>s</w:t>
      </w:r>
      <w:r w:rsidR="001533F3">
        <w:t xml:space="preserve"> </w:t>
      </w:r>
      <w:r>
        <w:t xml:space="preserve">have </w:t>
      </w:r>
      <w:r w:rsidR="001533F3" w:rsidRPr="001D25A7">
        <w:t>limited coverage of GP functionality</w:t>
      </w:r>
      <w:r w:rsidR="001533F3">
        <w:t xml:space="preserve"> (applicable to the MIG interface)</w:t>
      </w:r>
      <w:r w:rsidR="000E1EBF">
        <w:t>;</w:t>
      </w:r>
    </w:p>
    <w:p w:rsidR="001533F3" w:rsidRDefault="00A4717D" w:rsidP="00CA1A71">
      <w:pPr>
        <w:pStyle w:val="ListParagraph"/>
        <w:numPr>
          <w:ilvl w:val="0"/>
          <w:numId w:val="3"/>
        </w:numPr>
      </w:pPr>
      <w:r>
        <w:t>They a</w:t>
      </w:r>
      <w:r w:rsidR="001533F3">
        <w:t xml:space="preserve">re </w:t>
      </w:r>
      <w:r w:rsidR="001533F3" w:rsidRPr="001D25A7">
        <w:t>not</w:t>
      </w:r>
      <w:r w:rsidR="001533F3">
        <w:t xml:space="preserve"> run or governed by a </w:t>
      </w:r>
      <w:r w:rsidR="001533F3" w:rsidRPr="001D25A7">
        <w:t>supplier-independent organisation</w:t>
      </w:r>
      <w:r w:rsidR="001533F3">
        <w:t xml:space="preserve"> </w:t>
      </w:r>
      <w:r w:rsidR="00CA1A71">
        <w:t>and are therefore subject to suppliers’ commercial interests (applicable to Partner + MIG interfaces).</w:t>
      </w:r>
    </w:p>
    <w:p w:rsidR="00F642E2" w:rsidRDefault="00F642E2">
      <w:pPr>
        <w:spacing w:line="259" w:lineRule="auto"/>
        <w:rPr>
          <w:rFonts w:cs="Arial"/>
          <w:sz w:val="52"/>
          <w:szCs w:val="72"/>
        </w:rPr>
      </w:pPr>
      <w:r>
        <w:br w:type="page"/>
      </w:r>
    </w:p>
    <w:p w:rsidR="000B6A77" w:rsidRDefault="00723558" w:rsidP="000B6A77">
      <w:pPr>
        <w:pStyle w:val="Heading1"/>
      </w:pPr>
      <w:bookmarkStart w:id="5" w:name="_Toc437434748"/>
      <w:r>
        <w:lastRenderedPageBreak/>
        <w:t xml:space="preserve">General Practice </w:t>
      </w:r>
      <w:r w:rsidR="00192FEE">
        <w:t>Common</w:t>
      </w:r>
      <w:r>
        <w:t xml:space="preserve"> Interface Mechanism</w:t>
      </w:r>
      <w:bookmarkEnd w:id="5"/>
    </w:p>
    <w:p w:rsidR="000B6A77" w:rsidRDefault="00192FEE" w:rsidP="000B6A77">
      <w:r>
        <w:t>The GP-C</w:t>
      </w:r>
      <w:r w:rsidR="000B6A77">
        <w:t>IM has a number of objectives which will be delivered in stages.</w:t>
      </w:r>
    </w:p>
    <w:p w:rsidR="00296D71" w:rsidRDefault="001F2C39" w:rsidP="00296D71">
      <w:pPr>
        <w:pStyle w:val="Heading2"/>
      </w:pPr>
      <w:bookmarkStart w:id="6" w:name="_Toc437434749"/>
      <w:r>
        <w:t>Objectives</w:t>
      </w:r>
      <w:bookmarkEnd w:id="6"/>
    </w:p>
    <w:p w:rsidR="00F642E2" w:rsidRPr="00F642E2" w:rsidRDefault="00F642E2" w:rsidP="00F642E2">
      <w:r>
        <w:t xml:space="preserve">The </w:t>
      </w:r>
      <w:r w:rsidR="00192FEE">
        <w:t xml:space="preserve">GP-CIM </w:t>
      </w:r>
      <w:r>
        <w:t xml:space="preserve">aims to address the limitations </w:t>
      </w:r>
      <w:r w:rsidR="00E92038">
        <w:t>of</w:t>
      </w:r>
      <w:r>
        <w:t xml:space="preserve"> the existing GP interfaces by creating the following:</w:t>
      </w:r>
    </w:p>
    <w:p w:rsidR="009C13E7" w:rsidRDefault="009C13E7" w:rsidP="009C13E7">
      <w:pPr>
        <w:pStyle w:val="ListParagraph"/>
        <w:numPr>
          <w:ilvl w:val="0"/>
          <w:numId w:val="1"/>
        </w:numPr>
      </w:pPr>
      <w:r w:rsidRPr="009C13E7">
        <w:t xml:space="preserve">A </w:t>
      </w:r>
      <w:r w:rsidRPr="001D25A7">
        <w:t>single server-accessible endpoint</w:t>
      </w:r>
      <w:r w:rsidRPr="009C13E7">
        <w:t xml:space="preserve"> for </w:t>
      </w:r>
      <w:r w:rsidR="00185B05">
        <w:t>exchanging data with</w:t>
      </w:r>
      <w:r w:rsidRPr="009C13E7">
        <w:t xml:space="preserve"> all GP systems in the UK;</w:t>
      </w:r>
    </w:p>
    <w:p w:rsidR="00CA1A71" w:rsidRDefault="00CA1A71" w:rsidP="009C13E7">
      <w:pPr>
        <w:pStyle w:val="ListParagraph"/>
        <w:numPr>
          <w:ilvl w:val="0"/>
          <w:numId w:val="1"/>
        </w:numPr>
      </w:pPr>
      <w:r>
        <w:t>A single security model for connecting the interface;</w:t>
      </w:r>
    </w:p>
    <w:p w:rsidR="009C13E7" w:rsidRDefault="00582C10" w:rsidP="009C13E7">
      <w:pPr>
        <w:pStyle w:val="ListParagraph"/>
        <w:numPr>
          <w:ilvl w:val="0"/>
          <w:numId w:val="1"/>
        </w:numPr>
      </w:pPr>
      <w:r>
        <w:t xml:space="preserve">A </w:t>
      </w:r>
      <w:r w:rsidR="00185B05" w:rsidRPr="001D25A7">
        <w:t xml:space="preserve">single open and standardised </w:t>
      </w:r>
      <w:r w:rsidRPr="001D25A7">
        <w:t>data format</w:t>
      </w:r>
      <w:r>
        <w:t xml:space="preserve"> (both clinical and transport) for </w:t>
      </w:r>
      <w:r w:rsidR="00296D71">
        <w:t>exchanging</w:t>
      </w:r>
      <w:r>
        <w:t xml:space="preserve"> data;</w:t>
      </w:r>
    </w:p>
    <w:p w:rsidR="00582C10" w:rsidRDefault="00582C10" w:rsidP="00582C10">
      <w:pPr>
        <w:pStyle w:val="ListParagraph"/>
        <w:numPr>
          <w:ilvl w:val="0"/>
          <w:numId w:val="1"/>
        </w:numPr>
      </w:pPr>
      <w:r>
        <w:t xml:space="preserve">Coverage of </w:t>
      </w:r>
      <w:r w:rsidRPr="001D25A7">
        <w:t>all functional areas</w:t>
      </w:r>
      <w:r>
        <w:t xml:space="preserve"> necessary</w:t>
      </w:r>
      <w:r w:rsidR="000B6A77">
        <w:t xml:space="preserve"> to support shared patient care, including but not limited to:</w:t>
      </w:r>
    </w:p>
    <w:p w:rsidR="000B6A77" w:rsidRDefault="000B6A77" w:rsidP="000B6A77">
      <w:pPr>
        <w:pStyle w:val="ListParagraph"/>
        <w:numPr>
          <w:ilvl w:val="1"/>
          <w:numId w:val="1"/>
        </w:numPr>
      </w:pPr>
      <w:r>
        <w:t>Patient trace,</w:t>
      </w:r>
    </w:p>
    <w:p w:rsidR="000B6A77" w:rsidRDefault="000B6A77" w:rsidP="000B6A77">
      <w:pPr>
        <w:pStyle w:val="ListParagraph"/>
        <w:numPr>
          <w:ilvl w:val="1"/>
          <w:numId w:val="1"/>
        </w:numPr>
      </w:pPr>
      <w:r>
        <w:t>Get patient record (HTML and coded forms),</w:t>
      </w:r>
    </w:p>
    <w:p w:rsidR="000B6A77" w:rsidRDefault="000B6A77" w:rsidP="000B6A77">
      <w:pPr>
        <w:pStyle w:val="ListParagraph"/>
        <w:numPr>
          <w:ilvl w:val="1"/>
          <w:numId w:val="1"/>
        </w:numPr>
      </w:pPr>
      <w:r>
        <w:t>Update patient record,</w:t>
      </w:r>
    </w:p>
    <w:p w:rsidR="000B6A77" w:rsidRDefault="000B6A77" w:rsidP="000B6A77">
      <w:pPr>
        <w:pStyle w:val="ListParagraph"/>
        <w:numPr>
          <w:ilvl w:val="1"/>
          <w:numId w:val="1"/>
        </w:numPr>
      </w:pPr>
      <w:r>
        <w:t>Appointments,</w:t>
      </w:r>
    </w:p>
    <w:p w:rsidR="000B6A77" w:rsidRDefault="000B6A77" w:rsidP="000B6A77">
      <w:pPr>
        <w:pStyle w:val="ListParagraph"/>
        <w:numPr>
          <w:ilvl w:val="1"/>
          <w:numId w:val="1"/>
        </w:numPr>
      </w:pPr>
      <w:r>
        <w:t>Task management,</w:t>
      </w:r>
    </w:p>
    <w:p w:rsidR="000B6A77" w:rsidRDefault="000B6A77" w:rsidP="000B6A77">
      <w:pPr>
        <w:pStyle w:val="ListParagraph"/>
        <w:numPr>
          <w:ilvl w:val="1"/>
          <w:numId w:val="1"/>
        </w:numPr>
      </w:pPr>
      <w:r>
        <w:t>Clinical correspondence</w:t>
      </w:r>
      <w:r w:rsidR="00E41671">
        <w:t xml:space="preserve"> including transfer of care and e-discharge documents</w:t>
      </w:r>
      <w:r>
        <w:t>,</w:t>
      </w:r>
    </w:p>
    <w:p w:rsidR="000B6A77" w:rsidRDefault="00D60E44" w:rsidP="000B6A77">
      <w:pPr>
        <w:pStyle w:val="ListParagraph"/>
        <w:numPr>
          <w:ilvl w:val="1"/>
          <w:numId w:val="1"/>
        </w:numPr>
      </w:pPr>
      <w:r>
        <w:t>Record attachments,</w:t>
      </w:r>
    </w:p>
    <w:p w:rsidR="00D60E44" w:rsidRDefault="00D60E44" w:rsidP="000B6A77">
      <w:pPr>
        <w:pStyle w:val="ListParagraph"/>
        <w:numPr>
          <w:ilvl w:val="1"/>
          <w:numId w:val="1"/>
        </w:numPr>
      </w:pPr>
      <w:r>
        <w:t>Notification of changed patients;</w:t>
      </w:r>
    </w:p>
    <w:p w:rsidR="00AD0BE1" w:rsidRDefault="00AD0BE1" w:rsidP="00582C10">
      <w:pPr>
        <w:pStyle w:val="ListParagraph"/>
        <w:numPr>
          <w:ilvl w:val="0"/>
          <w:numId w:val="1"/>
        </w:numPr>
      </w:pPr>
      <w:r>
        <w:t>Information governance controls including a sharing agreement model and patient consent to share preference;</w:t>
      </w:r>
    </w:p>
    <w:p w:rsidR="00AD0BE1" w:rsidRDefault="00AD0BE1" w:rsidP="00AD0BE1">
      <w:pPr>
        <w:pStyle w:val="ListParagraph"/>
        <w:numPr>
          <w:ilvl w:val="0"/>
          <w:numId w:val="1"/>
        </w:numPr>
      </w:pPr>
      <w:r>
        <w:t xml:space="preserve">Ability to exchange </w:t>
      </w:r>
      <w:r w:rsidRPr="001D25A7">
        <w:t xml:space="preserve">transactional </w:t>
      </w:r>
      <w:r w:rsidR="00A067D6">
        <w:t xml:space="preserve">data using synchronous and asynchronous patterns, </w:t>
      </w:r>
      <w:r w:rsidRPr="001D25A7">
        <w:t>and bulk</w:t>
      </w:r>
      <w:r w:rsidRPr="00296D71">
        <w:t xml:space="preserve"> data</w:t>
      </w:r>
      <w:r w:rsidR="00A067D6">
        <w:t xml:space="preserve"> using an asynchronous pattern</w:t>
      </w:r>
      <w:r>
        <w:t>;</w:t>
      </w:r>
    </w:p>
    <w:p w:rsidR="00582C10" w:rsidRDefault="009C13E7" w:rsidP="009C13E7">
      <w:pPr>
        <w:pStyle w:val="ListParagraph"/>
        <w:numPr>
          <w:ilvl w:val="0"/>
          <w:numId w:val="1"/>
        </w:numPr>
      </w:pPr>
      <w:r w:rsidRPr="009C13E7">
        <w:t xml:space="preserve">An open </w:t>
      </w:r>
      <w:r w:rsidR="00AD0BE1">
        <w:t xml:space="preserve">and </w:t>
      </w:r>
      <w:r w:rsidRPr="009C13E7">
        <w:t xml:space="preserve">supplier-independent organisation providing </w:t>
      </w:r>
      <w:r w:rsidRPr="001D25A7">
        <w:t>equitable access to the interface</w:t>
      </w:r>
      <w:r w:rsidRPr="009C13E7">
        <w:t>, accreditation and management of the interface;</w:t>
      </w:r>
    </w:p>
    <w:p w:rsidR="009C13E7" w:rsidRDefault="009C13E7" w:rsidP="009C13E7">
      <w:pPr>
        <w:pStyle w:val="ListParagraph"/>
        <w:numPr>
          <w:ilvl w:val="0"/>
          <w:numId w:val="1"/>
        </w:numPr>
      </w:pPr>
      <w:r w:rsidRPr="009C13E7">
        <w:t xml:space="preserve">An </w:t>
      </w:r>
      <w:r w:rsidRPr="001D25A7">
        <w:t>open source technology resource</w:t>
      </w:r>
      <w:r w:rsidRPr="009C13E7">
        <w:t xml:space="preserve"> including code for this interface, for supporting other record sharing efforts in the UK.</w:t>
      </w:r>
    </w:p>
    <w:p w:rsidR="0090547E" w:rsidRDefault="0090547E" w:rsidP="0090547E">
      <w:pPr>
        <w:pStyle w:val="Heading2"/>
      </w:pPr>
      <w:bookmarkStart w:id="7" w:name="_Toc437434750"/>
      <w:r>
        <w:lastRenderedPageBreak/>
        <w:t xml:space="preserve">Staged </w:t>
      </w:r>
      <w:r w:rsidR="001F2C39">
        <w:t xml:space="preserve">delivery </w:t>
      </w:r>
      <w:r>
        <w:t>chart</w:t>
      </w:r>
      <w:bookmarkEnd w:id="7"/>
    </w:p>
    <w:p w:rsidR="001F2C39" w:rsidRDefault="007C1C3D" w:rsidP="001F2C39">
      <w:r>
        <w:t>Objectives will be delivered in stages, each stage creating a foundation for the next stage.</w:t>
      </w:r>
    </w:p>
    <w:p w:rsidR="001F2C39" w:rsidRPr="007C1C3D" w:rsidRDefault="007C1C3D" w:rsidP="00BC3AD2">
      <w:pPr>
        <w:pStyle w:val="ListParagraph"/>
        <w:numPr>
          <w:ilvl w:val="0"/>
          <w:numId w:val="3"/>
        </w:numPr>
        <w:shd w:val="clear" w:color="auto" w:fill="DEEAF6" w:themeFill="accent1" w:themeFillTint="33"/>
        <w:spacing w:line="360" w:lineRule="auto"/>
        <w:ind w:left="357" w:hanging="357"/>
        <w:rPr>
          <w:b/>
        </w:rPr>
      </w:pPr>
      <w:r>
        <w:t xml:space="preserve">Note: </w:t>
      </w:r>
      <w:r w:rsidRPr="007C1C3D">
        <w:rPr>
          <w:b/>
        </w:rPr>
        <w:t xml:space="preserve"> </w:t>
      </w:r>
      <w:r w:rsidR="001F2C39" w:rsidRPr="007C1C3D">
        <w:rPr>
          <w:b/>
        </w:rPr>
        <w:t xml:space="preserve">Development work is NOT required by GP suppliers </w:t>
      </w:r>
      <w:r w:rsidR="001F2C39" w:rsidRPr="007C1C3D">
        <w:t>to meet the objectives of</w:t>
      </w:r>
      <w:r w:rsidR="001F2C39" w:rsidRPr="007C1C3D">
        <w:rPr>
          <w:b/>
        </w:rPr>
        <w:t xml:space="preserve"> stages one and two.</w:t>
      </w:r>
    </w:p>
    <w:tbl>
      <w:tblPr>
        <w:tblStyle w:val="TableGrid"/>
        <w:tblW w:w="991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0"/>
        <w:gridCol w:w="489"/>
        <w:gridCol w:w="5184"/>
        <w:gridCol w:w="1304"/>
        <w:gridCol w:w="1304"/>
        <w:gridCol w:w="1267"/>
      </w:tblGrid>
      <w:tr w:rsidR="0090547E" w:rsidRPr="00C8198B" w:rsidTr="001F2C39">
        <w:tc>
          <w:tcPr>
            <w:tcW w:w="6043" w:type="dxa"/>
            <w:gridSpan w:val="3"/>
          </w:tcPr>
          <w:p w:rsidR="0090547E" w:rsidRPr="00281B19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281B19">
              <w:rPr>
                <w:rFonts w:cs="Arial"/>
                <w:b/>
              </w:rPr>
              <w:t>Objective</w:t>
            </w:r>
          </w:p>
        </w:tc>
        <w:tc>
          <w:tcPr>
            <w:tcW w:w="1304" w:type="dxa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b/>
              </w:rPr>
            </w:pPr>
            <w:r w:rsidRPr="00281B19">
              <w:rPr>
                <w:rFonts w:cs="Arial"/>
                <w:b/>
              </w:rPr>
              <w:t>Stage 1</w:t>
            </w:r>
          </w:p>
        </w:tc>
        <w:tc>
          <w:tcPr>
            <w:tcW w:w="1304" w:type="dxa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b/>
              </w:rPr>
            </w:pPr>
            <w:r w:rsidRPr="00281B19">
              <w:rPr>
                <w:rFonts w:cs="Arial"/>
                <w:b/>
              </w:rPr>
              <w:t>Stage 2</w:t>
            </w:r>
          </w:p>
        </w:tc>
        <w:tc>
          <w:tcPr>
            <w:tcW w:w="1267" w:type="dxa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b/>
              </w:rPr>
            </w:pPr>
            <w:r w:rsidRPr="00281B19">
              <w:rPr>
                <w:rFonts w:cs="Arial"/>
                <w:b/>
              </w:rPr>
              <w:t>Stage 3</w:t>
            </w:r>
          </w:p>
        </w:tc>
      </w:tr>
      <w:tr w:rsidR="001F2C39" w:rsidRPr="00C8198B" w:rsidTr="001F2C39">
        <w:tc>
          <w:tcPr>
            <w:tcW w:w="370" w:type="dxa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1</w:t>
            </w:r>
          </w:p>
        </w:tc>
        <w:tc>
          <w:tcPr>
            <w:tcW w:w="5673" w:type="dxa"/>
            <w:gridSpan w:val="2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A single server-accessible endpoint for exchanging data with all GP systems in the UK.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c>
          <w:tcPr>
            <w:tcW w:w="370" w:type="dxa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2</w:t>
            </w:r>
          </w:p>
        </w:tc>
        <w:tc>
          <w:tcPr>
            <w:tcW w:w="5673" w:type="dxa"/>
            <w:gridSpan w:val="2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A single security model for connecting the interface.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1F2C39" w:rsidRPr="00C8198B" w:rsidTr="001F2C39">
        <w:tc>
          <w:tcPr>
            <w:tcW w:w="370" w:type="dxa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3</w:t>
            </w:r>
          </w:p>
        </w:tc>
        <w:tc>
          <w:tcPr>
            <w:tcW w:w="5673" w:type="dxa"/>
            <w:gridSpan w:val="2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 xml:space="preserve">A single open and </w:t>
            </w:r>
            <w:r w:rsidR="009F3C34">
              <w:rPr>
                <w:rFonts w:cs="Arial"/>
              </w:rPr>
              <w:t xml:space="preserve">independently </w:t>
            </w:r>
            <w:r w:rsidRPr="00C8198B">
              <w:rPr>
                <w:rFonts w:cs="Arial"/>
              </w:rPr>
              <w:t>standardised data format (both clinical and transport) for exchanging data.</w:t>
            </w:r>
          </w:p>
        </w:tc>
        <w:tc>
          <w:tcPr>
            <w:tcW w:w="1304" w:type="dxa"/>
            <w:shd w:val="clear" w:color="auto" w:fill="FFFFAF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Cs w:val="28"/>
              </w:rPr>
            </w:pPr>
            <w:r w:rsidRPr="00281B19">
              <w:rPr>
                <w:rFonts w:cs="Arial"/>
                <w:sz w:val="20"/>
                <w:szCs w:val="28"/>
              </w:rPr>
              <w:t>partial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8"/>
        </w:trPr>
        <w:tc>
          <w:tcPr>
            <w:tcW w:w="370" w:type="dxa"/>
            <w:vMerge w:val="restart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4</w:t>
            </w:r>
          </w:p>
        </w:tc>
        <w:tc>
          <w:tcPr>
            <w:tcW w:w="9548" w:type="dxa"/>
            <w:gridSpan w:val="5"/>
          </w:tcPr>
          <w:p w:rsidR="0090547E" w:rsidRPr="00281B19" w:rsidRDefault="0090547E" w:rsidP="0027604A">
            <w:pPr>
              <w:spacing w:line="276" w:lineRule="auto"/>
              <w:rPr>
                <w:rFonts w:cs="Arial"/>
                <w:szCs w:val="28"/>
              </w:rPr>
            </w:pPr>
            <w:r w:rsidRPr="00281B19">
              <w:rPr>
                <w:rFonts w:cs="Arial"/>
                <w:szCs w:val="28"/>
              </w:rPr>
              <w:t>Coverage of all functional areas necessary to support shared patient care, including but not limited to:</w:t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a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Patient trace;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b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Get patient record (HTML and coded forms);</w:t>
            </w:r>
          </w:p>
        </w:tc>
        <w:tc>
          <w:tcPr>
            <w:tcW w:w="1304" w:type="dxa"/>
            <w:shd w:val="clear" w:color="auto" w:fill="FFFFAF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Cs w:val="28"/>
              </w:rPr>
            </w:pPr>
            <w:r w:rsidRPr="00281B19">
              <w:rPr>
                <w:rFonts w:cs="Arial"/>
                <w:sz w:val="20"/>
                <w:szCs w:val="28"/>
              </w:rPr>
              <w:t>HTML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c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Update patient record;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d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Appointments;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e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Task management;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f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Clinical correspondence including transfer of care and e-discharge documents;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g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Record attachments;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rPr>
          <w:trHeight w:val="331"/>
        </w:trPr>
        <w:tc>
          <w:tcPr>
            <w:tcW w:w="370" w:type="dxa"/>
            <w:vMerge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</w:p>
        </w:tc>
        <w:tc>
          <w:tcPr>
            <w:tcW w:w="489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h</w:t>
            </w:r>
          </w:p>
        </w:tc>
        <w:tc>
          <w:tcPr>
            <w:tcW w:w="5184" w:type="dxa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Notification of changed patients.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c>
          <w:tcPr>
            <w:tcW w:w="370" w:type="dxa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5</w:t>
            </w:r>
          </w:p>
        </w:tc>
        <w:tc>
          <w:tcPr>
            <w:tcW w:w="5673" w:type="dxa"/>
            <w:gridSpan w:val="2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Information governance controls including a sharing agreement model and patient consent to share preference.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1F2C39" w:rsidRPr="00C8198B" w:rsidTr="001F2C39">
        <w:tc>
          <w:tcPr>
            <w:tcW w:w="370" w:type="dxa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6</w:t>
            </w:r>
          </w:p>
        </w:tc>
        <w:tc>
          <w:tcPr>
            <w:tcW w:w="5673" w:type="dxa"/>
            <w:gridSpan w:val="2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Ability to exchange transactional data using synchronous and asynchronous patterns, and bulk data using an asynchronous pattern.</w:t>
            </w:r>
          </w:p>
        </w:tc>
        <w:tc>
          <w:tcPr>
            <w:tcW w:w="1304" w:type="dxa"/>
            <w:shd w:val="clear" w:color="auto" w:fill="FFFFAF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0"/>
                <w:szCs w:val="28"/>
              </w:rPr>
            </w:pPr>
            <w:r w:rsidRPr="00281B19">
              <w:rPr>
                <w:rFonts w:cs="Arial"/>
                <w:sz w:val="20"/>
                <w:szCs w:val="28"/>
              </w:rPr>
              <w:t>transactional</w:t>
            </w:r>
          </w:p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0"/>
                <w:szCs w:val="28"/>
              </w:rPr>
            </w:pPr>
            <w:r w:rsidRPr="00281B19">
              <w:rPr>
                <w:rFonts w:cs="Arial"/>
                <w:sz w:val="20"/>
                <w:szCs w:val="28"/>
              </w:rPr>
              <w:t>synchronous only</w:t>
            </w:r>
          </w:p>
        </w:tc>
        <w:tc>
          <w:tcPr>
            <w:tcW w:w="1304" w:type="dxa"/>
            <w:shd w:val="clear" w:color="auto" w:fill="FFFFAF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0"/>
                <w:szCs w:val="28"/>
              </w:rPr>
            </w:pPr>
            <w:r w:rsidRPr="00281B19">
              <w:rPr>
                <w:rFonts w:cs="Arial"/>
                <w:sz w:val="20"/>
                <w:szCs w:val="28"/>
              </w:rPr>
              <w:t>transactional</w:t>
            </w:r>
          </w:p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0"/>
                <w:szCs w:val="28"/>
              </w:rPr>
            </w:pPr>
            <w:r w:rsidRPr="00281B19">
              <w:rPr>
                <w:rFonts w:cs="Arial"/>
                <w:sz w:val="20"/>
                <w:szCs w:val="28"/>
              </w:rPr>
              <w:t>synchronous only</w:t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c>
          <w:tcPr>
            <w:tcW w:w="370" w:type="dxa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7</w:t>
            </w:r>
          </w:p>
        </w:tc>
        <w:tc>
          <w:tcPr>
            <w:tcW w:w="5673" w:type="dxa"/>
            <w:gridSpan w:val="2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An open and supplier-independent organisation providing equitable access to the interface, accreditation and management of the interface.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  <w:tr w:rsidR="0090547E" w:rsidRPr="00C8198B" w:rsidTr="001F2C39">
        <w:tc>
          <w:tcPr>
            <w:tcW w:w="370" w:type="dxa"/>
          </w:tcPr>
          <w:p w:rsidR="0090547E" w:rsidRPr="007C1C3D" w:rsidRDefault="0090547E" w:rsidP="0027604A">
            <w:pPr>
              <w:spacing w:line="276" w:lineRule="auto"/>
              <w:rPr>
                <w:rFonts w:cs="Arial"/>
                <w:b/>
              </w:rPr>
            </w:pPr>
            <w:r w:rsidRPr="007C1C3D">
              <w:rPr>
                <w:rFonts w:cs="Arial"/>
                <w:b/>
              </w:rPr>
              <w:t>8</w:t>
            </w:r>
          </w:p>
        </w:tc>
        <w:tc>
          <w:tcPr>
            <w:tcW w:w="5673" w:type="dxa"/>
            <w:gridSpan w:val="2"/>
          </w:tcPr>
          <w:p w:rsidR="0090547E" w:rsidRPr="00C8198B" w:rsidRDefault="0090547E" w:rsidP="0027604A">
            <w:pPr>
              <w:spacing w:line="276" w:lineRule="auto"/>
              <w:rPr>
                <w:rFonts w:cs="Arial"/>
              </w:rPr>
            </w:pPr>
            <w:r w:rsidRPr="00C8198B">
              <w:rPr>
                <w:rFonts w:cs="Arial"/>
              </w:rPr>
              <w:t>An open source technology resource including code for this interface, for supporting other record sharing efforts in the UK.</w:t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304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  <w:tc>
          <w:tcPr>
            <w:tcW w:w="1267" w:type="dxa"/>
            <w:shd w:val="clear" w:color="auto" w:fill="C5E0B3" w:themeFill="accent6" w:themeFillTint="66"/>
            <w:vAlign w:val="center"/>
          </w:tcPr>
          <w:p w:rsidR="0090547E" w:rsidRPr="00281B19" w:rsidRDefault="0090547E" w:rsidP="0027604A">
            <w:pPr>
              <w:spacing w:line="276" w:lineRule="auto"/>
              <w:jc w:val="center"/>
              <w:rPr>
                <w:rFonts w:cs="Arial"/>
                <w:sz w:val="28"/>
                <w:szCs w:val="28"/>
              </w:rPr>
            </w:pPr>
            <w:r w:rsidRPr="00281B19">
              <w:rPr>
                <w:rFonts w:cs="Arial"/>
                <w:sz w:val="28"/>
                <w:szCs w:val="28"/>
              </w:rPr>
              <w:sym w:font="Wingdings" w:char="F0FC"/>
            </w:r>
          </w:p>
        </w:tc>
      </w:tr>
    </w:tbl>
    <w:p w:rsidR="0090547E" w:rsidRDefault="0090547E">
      <w:pPr>
        <w:spacing w:line="259" w:lineRule="auto"/>
      </w:pPr>
      <w:r>
        <w:br w:type="page"/>
      </w:r>
    </w:p>
    <w:p w:rsidR="007D688C" w:rsidRDefault="003539DB" w:rsidP="007D688C">
      <w:pPr>
        <w:pStyle w:val="Heading1"/>
      </w:pPr>
      <w:bookmarkStart w:id="8" w:name="_Toc437434751"/>
      <w:r>
        <w:lastRenderedPageBreak/>
        <w:t>S</w:t>
      </w:r>
      <w:r w:rsidR="00E47A94">
        <w:t>tage one</w:t>
      </w:r>
      <w:r w:rsidR="00F87CD7">
        <w:t xml:space="preserve"> requirements</w:t>
      </w:r>
      <w:bookmarkEnd w:id="8"/>
    </w:p>
    <w:p w:rsidR="0028444B" w:rsidRDefault="0028444B" w:rsidP="0028444B">
      <w:r>
        <w:t xml:space="preserve">Stage one implements Patient trace and Get patient record </w:t>
      </w:r>
      <w:r w:rsidR="007D688C">
        <w:t xml:space="preserve">(HTML) </w:t>
      </w:r>
      <w:r>
        <w:t xml:space="preserve">functionality </w:t>
      </w:r>
      <w:r w:rsidR="007D688C">
        <w:t xml:space="preserve">and the supporting infrastructure to </w:t>
      </w:r>
      <w:r w:rsidR="005D1E43">
        <w:t>create</w:t>
      </w:r>
      <w:r>
        <w:t xml:space="preserve"> a foundation for further stages.</w:t>
      </w:r>
    </w:p>
    <w:p w:rsidR="007D688C" w:rsidRDefault="007D688C" w:rsidP="0028444B">
      <w:r w:rsidRPr="00694D68">
        <w:rPr>
          <w:b/>
        </w:rPr>
        <w:t xml:space="preserve">No development effort is required </w:t>
      </w:r>
      <w:r w:rsidR="00E369D1" w:rsidRPr="00694D68">
        <w:rPr>
          <w:b/>
        </w:rPr>
        <w:t xml:space="preserve">by </w:t>
      </w:r>
      <w:r w:rsidRPr="00694D68">
        <w:rPr>
          <w:b/>
        </w:rPr>
        <w:t>GP suppliers to deliver this stage</w:t>
      </w:r>
      <w:r w:rsidR="00E369D1">
        <w:t xml:space="preserve"> – the existing interfaces to GP systems currently used by the MIG are used to supply data to the GP-</w:t>
      </w:r>
      <w:r w:rsidR="00192FEE">
        <w:t>C</w:t>
      </w:r>
      <w:r w:rsidR="00E369D1">
        <w:t>IM.</w:t>
      </w:r>
    </w:p>
    <w:p w:rsidR="007D688C" w:rsidRPr="00F87CD7" w:rsidRDefault="007D688C" w:rsidP="00F87CD7">
      <w:pPr>
        <w:pStyle w:val="Heading2"/>
      </w:pPr>
      <w:bookmarkStart w:id="9" w:name="_Toc437434752"/>
      <w:r w:rsidRPr="00F87CD7">
        <w:t>Interface functionality</w:t>
      </w:r>
      <w:bookmarkEnd w:id="9"/>
    </w:p>
    <w:p w:rsidR="00A45076" w:rsidRDefault="00A45076" w:rsidP="00E369D1">
      <w:r>
        <w:t>The following message interactions are supported by stage one of the GP-CIM:</w:t>
      </w:r>
    </w:p>
    <w:p w:rsidR="00A45076" w:rsidRDefault="00A45076" w:rsidP="00A45076">
      <w:pPr>
        <w:pStyle w:val="ListParagraph"/>
        <w:numPr>
          <w:ilvl w:val="0"/>
          <w:numId w:val="13"/>
        </w:numPr>
      </w:pPr>
      <w:r>
        <w:t>Patient trace</w:t>
      </w:r>
    </w:p>
    <w:p w:rsidR="00A45076" w:rsidRDefault="00A45076" w:rsidP="00A45076">
      <w:pPr>
        <w:pStyle w:val="ListParagraph"/>
        <w:numPr>
          <w:ilvl w:val="0"/>
          <w:numId w:val="13"/>
        </w:numPr>
      </w:pPr>
      <w:r>
        <w:t>Get patient record (HTML)</w:t>
      </w:r>
    </w:p>
    <w:p w:rsidR="00E369D1" w:rsidRDefault="00A45076" w:rsidP="00E369D1">
      <w:r>
        <w:t>All</w:t>
      </w:r>
      <w:r w:rsidR="00E369D1">
        <w:t xml:space="preserve"> are implemented in a synchronous transactional pattern for simplicity for the consumer and in implementation.</w:t>
      </w:r>
    </w:p>
    <w:p w:rsidR="007D688C" w:rsidRDefault="007D688C" w:rsidP="00E369D1">
      <w:pPr>
        <w:pStyle w:val="Heading2"/>
      </w:pPr>
      <w:bookmarkStart w:id="10" w:name="_Toc437434753"/>
      <w:r w:rsidRPr="007D688C">
        <w:t>Patient trace</w:t>
      </w:r>
      <w:bookmarkEnd w:id="10"/>
    </w:p>
    <w:p w:rsidR="007A241F" w:rsidRDefault="007A241F" w:rsidP="007A241F">
      <w:r>
        <w:t>Patient trace provides location of a patient’s record using either:</w:t>
      </w:r>
    </w:p>
    <w:p w:rsidR="007A241F" w:rsidRDefault="007A241F" w:rsidP="007A241F">
      <w:pPr>
        <w:pStyle w:val="ListParagraph"/>
        <w:numPr>
          <w:ilvl w:val="0"/>
          <w:numId w:val="3"/>
        </w:numPr>
      </w:pPr>
      <w:r>
        <w:t>NHS number; or</w:t>
      </w:r>
    </w:p>
    <w:p w:rsidR="007A241F" w:rsidRDefault="007A241F" w:rsidP="007A241F">
      <w:pPr>
        <w:pStyle w:val="ListParagraph"/>
        <w:numPr>
          <w:ilvl w:val="0"/>
          <w:numId w:val="3"/>
        </w:numPr>
      </w:pPr>
      <w:r>
        <w:t>Surname, date of birth and gender, and optionally forename and postcode.</w:t>
      </w:r>
    </w:p>
    <w:p w:rsidR="007A241F" w:rsidRDefault="007A241F" w:rsidP="007A241F">
      <w:r>
        <w:t>The result of tracing using these criteria will be a list of matching patients, including the ODS code of the practice they are registered at.  This ODS code is then used to direct further calls to the GP-CIM.</w:t>
      </w:r>
    </w:p>
    <w:p w:rsidR="007A241F" w:rsidRDefault="007A241F" w:rsidP="007A241F">
      <w:r>
        <w:t xml:space="preserve">A maximum of fifty matching patients can be returned from any one trace.  If the number of patients exceeds </w:t>
      </w:r>
      <w:r w:rsidR="005D1E43">
        <w:t>fifty</w:t>
      </w:r>
      <w:r>
        <w:t xml:space="preserve">, then no patients </w:t>
      </w:r>
      <w:r w:rsidR="005D1E43">
        <w:t>are</w:t>
      </w:r>
      <w:r>
        <w:t xml:space="preserve"> returned with an indicator </w:t>
      </w:r>
      <w:r w:rsidR="005D1E43">
        <w:t>to determine the limit has been met</w:t>
      </w:r>
      <w:r>
        <w:t>.  Further optional criteria should be provided to reduce the number of matching patients.</w:t>
      </w:r>
    </w:p>
    <w:p w:rsidR="00AF599D" w:rsidRDefault="00754825" w:rsidP="002B26DE">
      <w:pPr>
        <w:rPr>
          <w:rFonts w:eastAsiaTheme="majorEastAsia" w:cs="Arial"/>
          <w:sz w:val="32"/>
          <w:szCs w:val="26"/>
        </w:rPr>
      </w:pPr>
      <w:r>
        <w:t>Wildcards are supported in the surname, forename and postcode fields.</w:t>
      </w:r>
    </w:p>
    <w:p w:rsidR="00A45076" w:rsidRDefault="00A45076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7D688C" w:rsidRDefault="007D688C" w:rsidP="00E369D1">
      <w:pPr>
        <w:pStyle w:val="Heading2"/>
      </w:pPr>
      <w:bookmarkStart w:id="11" w:name="_Toc437434754"/>
      <w:r>
        <w:lastRenderedPageBreak/>
        <w:t>Get patient record (HTML)</w:t>
      </w:r>
      <w:bookmarkEnd w:id="11"/>
      <w:r w:rsidR="008B5D3C">
        <w:tab/>
      </w:r>
    </w:p>
    <w:p w:rsidR="008B5D3C" w:rsidRDefault="0094067B" w:rsidP="0094067B">
      <w:r>
        <w:t xml:space="preserve">Get patient record (HTML) returns </w:t>
      </w:r>
      <w:r w:rsidR="00AF599D">
        <w:t xml:space="preserve">the patient’s record </w:t>
      </w:r>
      <w:r>
        <w:t xml:space="preserve">pre-formatted </w:t>
      </w:r>
      <w:r w:rsidR="00AF599D">
        <w:t>as HTML ready for display.  An example of a summary record is shown below:</w:t>
      </w:r>
    </w:p>
    <w:p w:rsidR="00AF599D" w:rsidRDefault="008268AE" w:rsidP="0094067B">
      <w:r>
        <w:rPr>
          <w:noProof/>
          <w:lang w:eastAsia="en-GB"/>
        </w:rPr>
        <w:drawing>
          <wp:inline distT="0" distB="0" distL="0" distR="0" wp14:anchorId="2D7C7024" wp14:editId="19E6F0DE">
            <wp:extent cx="6257925" cy="3607435"/>
            <wp:effectExtent l="19050" t="19050" r="285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07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599D" w:rsidRDefault="00AF599D" w:rsidP="0094067B">
      <w:r>
        <w:t>It should be possible to request different summarisations of a patient’s record</w:t>
      </w:r>
      <w:r w:rsidR="0027604A">
        <w:t xml:space="preserve"> to suit different settings and purposes</w:t>
      </w:r>
      <w:r>
        <w:t>, for example:</w:t>
      </w:r>
    </w:p>
    <w:p w:rsidR="00AF599D" w:rsidRDefault="0027604A" w:rsidP="00AF599D">
      <w:pPr>
        <w:pStyle w:val="ListParagraph"/>
        <w:numPr>
          <w:ilvl w:val="0"/>
          <w:numId w:val="11"/>
        </w:numPr>
      </w:pPr>
      <w:r>
        <w:t>Summary record</w:t>
      </w:r>
      <w:r w:rsidR="008268AE">
        <w:t>, consisting of:</w:t>
      </w:r>
    </w:p>
    <w:p w:rsidR="008268AE" w:rsidRDefault="008268AE" w:rsidP="008268AE">
      <w:pPr>
        <w:pStyle w:val="ListParagraph"/>
        <w:numPr>
          <w:ilvl w:val="1"/>
          <w:numId w:val="11"/>
        </w:numPr>
      </w:pPr>
      <w:r>
        <w:t>Current problems,</w:t>
      </w:r>
    </w:p>
    <w:p w:rsidR="008268AE" w:rsidRDefault="008268AE" w:rsidP="008268AE">
      <w:pPr>
        <w:pStyle w:val="ListParagraph"/>
        <w:numPr>
          <w:ilvl w:val="1"/>
          <w:numId w:val="11"/>
        </w:numPr>
      </w:pPr>
      <w:r>
        <w:t>Current medication,</w:t>
      </w:r>
    </w:p>
    <w:p w:rsidR="008268AE" w:rsidRDefault="008268AE" w:rsidP="008268AE">
      <w:pPr>
        <w:pStyle w:val="ListParagraph"/>
        <w:numPr>
          <w:ilvl w:val="1"/>
          <w:numId w:val="11"/>
        </w:numPr>
      </w:pPr>
      <w:r>
        <w:t>Allergies and adverse reactions;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Detailed record, consisting of all sections in the list below;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 xml:space="preserve">Other setting </w:t>
      </w:r>
      <w:r w:rsidR="00300596">
        <w:t xml:space="preserve">targeted </w:t>
      </w:r>
      <w:r>
        <w:t>summarisations such as</w:t>
      </w:r>
      <w:r w:rsidR="009E776F">
        <w:t xml:space="preserve"> child health</w:t>
      </w:r>
      <w:r>
        <w:t>;</w:t>
      </w:r>
    </w:p>
    <w:p w:rsidR="008268AE" w:rsidRDefault="008268AE" w:rsidP="0081376D">
      <w:r>
        <w:t xml:space="preserve">Or one or </w:t>
      </w:r>
      <w:r w:rsidR="00720D0F">
        <w:t xml:space="preserve">more client specified </w:t>
      </w:r>
      <w:r>
        <w:t>sections of: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Problems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Diagnoses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Current medication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Past medication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lastRenderedPageBreak/>
        <w:t>Allergies and adverse reactions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Procedures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Vaccinations and immunisations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Tests</w:t>
      </w:r>
    </w:p>
    <w:p w:rsidR="008268AE" w:rsidRDefault="008268AE" w:rsidP="008268AE">
      <w:pPr>
        <w:pStyle w:val="ListParagraph"/>
        <w:numPr>
          <w:ilvl w:val="0"/>
          <w:numId w:val="11"/>
        </w:numPr>
      </w:pPr>
      <w:r>
        <w:t>Encounters</w:t>
      </w:r>
    </w:p>
    <w:p w:rsidR="0027604A" w:rsidRDefault="008268AE" w:rsidP="008268AE">
      <w:pPr>
        <w:pStyle w:val="ListParagraph"/>
        <w:numPr>
          <w:ilvl w:val="0"/>
          <w:numId w:val="11"/>
        </w:numPr>
      </w:pPr>
      <w:r>
        <w:t>Referrals</w:t>
      </w:r>
    </w:p>
    <w:p w:rsidR="00A45076" w:rsidRDefault="00A45076" w:rsidP="00A45076">
      <w:pPr>
        <w:pStyle w:val="Heading2"/>
      </w:pPr>
      <w:bookmarkStart w:id="12" w:name="_Toc437434755"/>
      <w:r>
        <w:t>Patient eligibility</w:t>
      </w:r>
      <w:bookmarkEnd w:id="12"/>
    </w:p>
    <w:p w:rsidR="00A45076" w:rsidRDefault="00A45076" w:rsidP="00A45076">
      <w:r>
        <w:t>Only regular (GMS) fully registered* consenting patients with an NHS number can be traced and their record shared via the GP-CIM.  Other types of patient such as emergency and temporary, and left or dead patients cannot.</w:t>
      </w:r>
    </w:p>
    <w:p w:rsidR="00A45076" w:rsidRDefault="00A45076" w:rsidP="00A45076">
      <w:r>
        <w:t>* Fully registered means that their registration has been accepted by and has not been deducted by the NHAIS system.</w:t>
      </w:r>
    </w:p>
    <w:p w:rsidR="00A45076" w:rsidRPr="007D688C" w:rsidRDefault="00A45076" w:rsidP="00A45076">
      <w:pPr>
        <w:pStyle w:val="Heading2"/>
      </w:pPr>
      <w:bookmarkStart w:id="13" w:name="_Toc437434756"/>
      <w:r>
        <w:t>Patient consent to share preference</w:t>
      </w:r>
      <w:bookmarkEnd w:id="13"/>
    </w:p>
    <w:p w:rsidR="00A45076" w:rsidRDefault="00A45076" w:rsidP="00A45076">
      <w:r>
        <w:t>There are three patient consent to share preference values, which control whether a record can be shared via the GP-CIM:</w:t>
      </w:r>
    </w:p>
    <w:tbl>
      <w:tblPr>
        <w:tblStyle w:val="PlainTable4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256"/>
        <w:gridCol w:w="6598"/>
      </w:tblGrid>
      <w:tr w:rsidR="00A45076" w:rsidTr="00624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 w:rsidR="00A45076" w:rsidRDefault="00A45076" w:rsidP="00624C02">
            <w:r>
              <w:t>Consent value</w:t>
            </w:r>
          </w:p>
        </w:tc>
        <w:tc>
          <w:tcPr>
            <w:tcW w:w="6598" w:type="dxa"/>
          </w:tcPr>
          <w:p w:rsidR="00A45076" w:rsidRDefault="00A45076" w:rsidP="00624C02">
            <w:r>
              <w:t>Outcome</w:t>
            </w:r>
          </w:p>
        </w:tc>
      </w:tr>
      <w:tr w:rsidR="00A45076" w:rsidTr="00624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:rsidR="00A45076" w:rsidRDefault="00A45076" w:rsidP="00624C02">
            <w:r>
              <w:t>Implied consent (default value)</w:t>
            </w:r>
          </w:p>
        </w:tc>
        <w:tc>
          <w:tcPr>
            <w:tcW w:w="6598" w:type="dxa"/>
          </w:tcPr>
          <w:p w:rsidR="00A45076" w:rsidRDefault="00A45076" w:rsidP="00624C02">
            <w:r>
              <w:t>Record can be shared via the GP-CIM subject to sharing agreements</w:t>
            </w:r>
            <w:r w:rsidR="00F0184E">
              <w:t xml:space="preserve"> and legitimate relationship</w:t>
            </w:r>
          </w:p>
        </w:tc>
      </w:tr>
      <w:tr w:rsidR="00A45076" w:rsidTr="00624C02">
        <w:tc>
          <w:tcPr>
            <w:tcW w:w="3256" w:type="dxa"/>
          </w:tcPr>
          <w:p w:rsidR="00A45076" w:rsidRDefault="00A45076" w:rsidP="00624C02">
            <w:r>
              <w:t>Expressed consent</w:t>
            </w:r>
          </w:p>
        </w:tc>
        <w:tc>
          <w:tcPr>
            <w:tcW w:w="6598" w:type="dxa"/>
          </w:tcPr>
          <w:p w:rsidR="00A45076" w:rsidRDefault="00A45076" w:rsidP="00624C02">
            <w:r>
              <w:t>Record can be shared via the GP-CIM subject to sharing agreements</w:t>
            </w:r>
            <w:r w:rsidR="00F0184E">
              <w:t xml:space="preserve"> and legitimate relationship</w:t>
            </w:r>
          </w:p>
        </w:tc>
      </w:tr>
      <w:tr w:rsidR="00A45076" w:rsidTr="00624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56" w:type="dxa"/>
          </w:tcPr>
          <w:p w:rsidR="00A45076" w:rsidRDefault="00A45076" w:rsidP="00624C02">
            <w:r>
              <w:t>Expressed dissent</w:t>
            </w:r>
          </w:p>
        </w:tc>
        <w:tc>
          <w:tcPr>
            <w:tcW w:w="6598" w:type="dxa"/>
          </w:tcPr>
          <w:p w:rsidR="00A45076" w:rsidRDefault="00A45076" w:rsidP="00F0184E">
            <w:r>
              <w:t xml:space="preserve">Record </w:t>
            </w:r>
            <w:r w:rsidR="00F0184E">
              <w:t>cannot</w:t>
            </w:r>
            <w:r>
              <w:t xml:space="preserve"> be shared via the GP-CIM</w:t>
            </w:r>
          </w:p>
        </w:tc>
      </w:tr>
    </w:tbl>
    <w:p w:rsidR="00A45076" w:rsidRPr="008F22EA" w:rsidRDefault="00A45076" w:rsidP="00A45076">
      <w:pPr>
        <w:rPr>
          <w:sz w:val="8"/>
        </w:rPr>
      </w:pPr>
    </w:p>
    <w:p w:rsidR="00A45076" w:rsidRDefault="00A45076" w:rsidP="00A45076">
      <w:r>
        <w:t>Implied consent is the default value in the absence of an expressed value.  In the case of multiple held consent to share values, the most recently expressed value takes precedence.</w:t>
      </w:r>
    </w:p>
    <w:p w:rsidR="00A45076" w:rsidRDefault="00A45076" w:rsidP="00A45076">
      <w:r>
        <w:t>The patient’s consent to share preference is held and managed at the patient’s registered GP practice.  Requests to get a dissenting patient’s record via the GP-CIM are denied at the GP supplier system, as this is where their consent preference is held.</w:t>
      </w:r>
    </w:p>
    <w:p w:rsidR="00A45076" w:rsidRDefault="00A45076" w:rsidP="00A45076">
      <w:r>
        <w:t>When a patient moves practice their consent value is transferred via electronic or paper means.</w:t>
      </w:r>
    </w:p>
    <w:p w:rsidR="007D688C" w:rsidRDefault="007D688C" w:rsidP="00E369D1">
      <w:pPr>
        <w:pStyle w:val="Heading2"/>
      </w:pPr>
      <w:bookmarkStart w:id="14" w:name="_Toc437434757"/>
      <w:r w:rsidRPr="00E369D1">
        <w:lastRenderedPageBreak/>
        <w:t>Sharing agreements</w:t>
      </w:r>
      <w:bookmarkEnd w:id="14"/>
    </w:p>
    <w:p w:rsidR="00462258" w:rsidRDefault="00462258" w:rsidP="00DE29F8">
      <w:r>
        <w:t>A sharing agreement is an agreement between two organisations allowing the flow of patient data in one or both directions subject to</w:t>
      </w:r>
      <w:r w:rsidR="00DE29F8">
        <w:t xml:space="preserve"> p</w:t>
      </w:r>
      <w:r>
        <w:t>atient consent</w:t>
      </w:r>
      <w:r w:rsidR="00DE29F8">
        <w:t>.</w:t>
      </w:r>
    </w:p>
    <w:p w:rsidR="00462258" w:rsidRDefault="00462258" w:rsidP="0093754D">
      <w:r>
        <w:t>An agreement must be in place between the requestor and provider of a patient’s record for the GP-CIM to fulfil the request.  If no agreement is in place, the request is blocked at the GP-CIM and an error is returned to the requestor.</w:t>
      </w:r>
    </w:p>
    <w:p w:rsidR="00462258" w:rsidRPr="0093754D" w:rsidRDefault="00DE29F8" w:rsidP="0093754D">
      <w:r>
        <w:t>An organisation may participate in any number of sharing agreements as requestor, provider, or both.</w:t>
      </w:r>
    </w:p>
    <w:p w:rsidR="007D688C" w:rsidRDefault="00F87CD7" w:rsidP="00F87CD7">
      <w:pPr>
        <w:pStyle w:val="Heading2"/>
      </w:pPr>
      <w:bookmarkStart w:id="15" w:name="_Toc437434758"/>
      <w:r>
        <w:t>Management and monitoring</w:t>
      </w:r>
      <w:bookmarkEnd w:id="15"/>
    </w:p>
    <w:p w:rsidR="00F87CD7" w:rsidRDefault="008F22EA" w:rsidP="00F87CD7">
      <w:r>
        <w:t>The full text of all request and response messages must be logged</w:t>
      </w:r>
      <w:r w:rsidR="000902D8">
        <w:t>, viewable</w:t>
      </w:r>
      <w:r>
        <w:t xml:space="preserve"> and searchable on the following fields:</w:t>
      </w:r>
    </w:p>
    <w:p w:rsidR="008F22EA" w:rsidRDefault="008F22EA" w:rsidP="008F22EA">
      <w:pPr>
        <w:pStyle w:val="ListParagraph"/>
        <w:numPr>
          <w:ilvl w:val="0"/>
          <w:numId w:val="11"/>
        </w:numPr>
      </w:pPr>
      <w:r>
        <w:t>UTC date and time of the request and response</w:t>
      </w:r>
    </w:p>
    <w:p w:rsidR="008F22EA" w:rsidRDefault="008F22EA" w:rsidP="008F22EA">
      <w:pPr>
        <w:pStyle w:val="ListParagraph"/>
        <w:numPr>
          <w:ilvl w:val="0"/>
          <w:numId w:val="11"/>
        </w:numPr>
      </w:pPr>
      <w:r>
        <w:t>Requestor IP address</w:t>
      </w:r>
    </w:p>
    <w:p w:rsidR="000902D8" w:rsidRDefault="000902D8" w:rsidP="008F22EA">
      <w:pPr>
        <w:pStyle w:val="ListParagraph"/>
        <w:numPr>
          <w:ilvl w:val="0"/>
          <w:numId w:val="11"/>
        </w:numPr>
      </w:pPr>
      <w:r>
        <w:t>Message type</w:t>
      </w:r>
    </w:p>
    <w:p w:rsidR="008F22EA" w:rsidRDefault="008F22EA" w:rsidP="008F22EA">
      <w:pPr>
        <w:pStyle w:val="ListParagraph"/>
        <w:numPr>
          <w:ilvl w:val="0"/>
          <w:numId w:val="11"/>
        </w:numPr>
      </w:pPr>
      <w:r>
        <w:t xml:space="preserve">Requesting organisation </w:t>
      </w:r>
      <w:r w:rsidR="000902D8">
        <w:t xml:space="preserve">name and </w:t>
      </w:r>
      <w:r>
        <w:t>ODS code</w:t>
      </w:r>
    </w:p>
    <w:p w:rsidR="008F22EA" w:rsidRDefault="008F22EA" w:rsidP="008F22EA">
      <w:pPr>
        <w:pStyle w:val="ListParagraph"/>
        <w:numPr>
          <w:ilvl w:val="0"/>
          <w:numId w:val="11"/>
        </w:numPr>
      </w:pPr>
      <w:r>
        <w:t>Providing organisation(s)</w:t>
      </w:r>
      <w:r w:rsidR="000902D8">
        <w:t xml:space="preserve"> name and ODS code</w:t>
      </w:r>
    </w:p>
    <w:p w:rsidR="008F22EA" w:rsidRDefault="008F22EA" w:rsidP="008F22EA">
      <w:pPr>
        <w:pStyle w:val="ListParagraph"/>
        <w:numPr>
          <w:ilvl w:val="0"/>
          <w:numId w:val="11"/>
        </w:numPr>
      </w:pPr>
      <w:r>
        <w:t>Requesting healthcare professional name and identifier(s)</w:t>
      </w:r>
    </w:p>
    <w:p w:rsidR="008F22EA" w:rsidRDefault="008F22EA" w:rsidP="008F22EA">
      <w:pPr>
        <w:pStyle w:val="ListParagraph"/>
        <w:numPr>
          <w:ilvl w:val="0"/>
          <w:numId w:val="11"/>
        </w:numPr>
      </w:pPr>
      <w:r>
        <w:t>Patient NHS number(s)</w:t>
      </w:r>
    </w:p>
    <w:p w:rsidR="000902D8" w:rsidRDefault="000902D8" w:rsidP="008F22EA">
      <w:pPr>
        <w:pStyle w:val="ListParagraph"/>
        <w:numPr>
          <w:ilvl w:val="0"/>
          <w:numId w:val="11"/>
        </w:numPr>
      </w:pPr>
      <w:r>
        <w:t>Response status</w:t>
      </w:r>
    </w:p>
    <w:p w:rsidR="008F22EA" w:rsidRDefault="000902D8" w:rsidP="008F22EA">
      <w:r>
        <w:t>It must be possible to view the number of messages flowing through the GP-CIM by the following criteria in any date and time period (UTC):</w:t>
      </w:r>
    </w:p>
    <w:p w:rsidR="000902D8" w:rsidRDefault="000902D8" w:rsidP="000902D8">
      <w:pPr>
        <w:pStyle w:val="ListParagraph"/>
        <w:numPr>
          <w:ilvl w:val="0"/>
          <w:numId w:val="11"/>
        </w:numPr>
      </w:pPr>
      <w:r>
        <w:t>Requestor IP address</w:t>
      </w:r>
    </w:p>
    <w:p w:rsidR="000902D8" w:rsidRDefault="000902D8" w:rsidP="000902D8">
      <w:pPr>
        <w:pStyle w:val="ListParagraph"/>
        <w:numPr>
          <w:ilvl w:val="0"/>
          <w:numId w:val="11"/>
        </w:numPr>
      </w:pPr>
      <w:r>
        <w:t>Message type</w:t>
      </w:r>
    </w:p>
    <w:p w:rsidR="000902D8" w:rsidRDefault="000902D8" w:rsidP="000902D8">
      <w:pPr>
        <w:pStyle w:val="ListParagraph"/>
        <w:numPr>
          <w:ilvl w:val="0"/>
          <w:numId w:val="11"/>
        </w:numPr>
      </w:pPr>
      <w:r>
        <w:t>Requesting organisation ODS code</w:t>
      </w:r>
    </w:p>
    <w:p w:rsidR="000902D8" w:rsidRDefault="000902D8" w:rsidP="000902D8">
      <w:pPr>
        <w:pStyle w:val="ListParagraph"/>
        <w:numPr>
          <w:ilvl w:val="0"/>
          <w:numId w:val="11"/>
        </w:numPr>
      </w:pPr>
      <w:r>
        <w:t>Providing organisation(s) ODS code</w:t>
      </w:r>
    </w:p>
    <w:p w:rsidR="000902D8" w:rsidRDefault="000902D8" w:rsidP="000902D8">
      <w:pPr>
        <w:pStyle w:val="ListParagraph"/>
        <w:numPr>
          <w:ilvl w:val="0"/>
          <w:numId w:val="11"/>
        </w:numPr>
      </w:pPr>
      <w:r>
        <w:t>Requesting healthcare professional identifier(s)</w:t>
      </w:r>
    </w:p>
    <w:p w:rsidR="000902D8" w:rsidRDefault="000902D8" w:rsidP="000902D8">
      <w:pPr>
        <w:pStyle w:val="ListParagraph"/>
        <w:numPr>
          <w:ilvl w:val="0"/>
          <w:numId w:val="11"/>
        </w:numPr>
      </w:pPr>
      <w:r>
        <w:t>Patient NHS number(s)</w:t>
      </w:r>
    </w:p>
    <w:p w:rsidR="000902D8" w:rsidRDefault="000902D8" w:rsidP="000902D8">
      <w:pPr>
        <w:pStyle w:val="ListParagraph"/>
        <w:numPr>
          <w:ilvl w:val="0"/>
          <w:numId w:val="11"/>
        </w:numPr>
      </w:pPr>
      <w:r>
        <w:t>Response status</w:t>
      </w:r>
    </w:p>
    <w:p w:rsidR="000902D8" w:rsidRPr="00F87CD7" w:rsidRDefault="000902D8" w:rsidP="000902D8">
      <w:r>
        <w:lastRenderedPageBreak/>
        <w:t>It must be possible to create, configure and view sharing agreements.  It must also be possible to activate and inactive sharing agreements.</w:t>
      </w:r>
    </w:p>
    <w:p w:rsidR="007D688C" w:rsidRDefault="007D688C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694D68" w:rsidRDefault="00F87CD7" w:rsidP="00694D68">
      <w:pPr>
        <w:pStyle w:val="Heading1"/>
      </w:pPr>
      <w:bookmarkStart w:id="16" w:name="_Toc437434759"/>
      <w:r>
        <w:lastRenderedPageBreak/>
        <w:t xml:space="preserve">Stage one </w:t>
      </w:r>
      <w:r w:rsidR="000F0EB1">
        <w:t>message</w:t>
      </w:r>
      <w:r w:rsidR="00192891">
        <w:t>s</w:t>
      </w:r>
      <w:bookmarkEnd w:id="16"/>
    </w:p>
    <w:p w:rsidR="00EA688E" w:rsidRDefault="00EA688E" w:rsidP="00E01EDD">
      <w:r>
        <w:t>Messages for communicating with the GP-CIM in stage one are defined by this project using SOAP and XML.</w:t>
      </w:r>
      <w:r w:rsidR="00D47254">
        <w:t xml:space="preserve">  They reduce the complexity of communicating with GP systems using individual supplier formats by introducing a single format to communicate with all suppliers via the GP-CIM.</w:t>
      </w:r>
    </w:p>
    <w:p w:rsidR="00EA688E" w:rsidRDefault="00D47254" w:rsidP="00E01EDD">
      <w:r>
        <w:t>S</w:t>
      </w:r>
      <w:r w:rsidR="00EA688E">
        <w:t xml:space="preserve">tage two and three </w:t>
      </w:r>
      <w:r>
        <w:t xml:space="preserve">promote interoperability and standardisation further by defining messages using an open </w:t>
      </w:r>
      <w:r w:rsidR="00EA688E">
        <w:t xml:space="preserve">international healthcare standard format </w:t>
      </w:r>
      <w:r>
        <w:t>such as HL7v3 or FHIR.</w:t>
      </w:r>
    </w:p>
    <w:p w:rsidR="003B4893" w:rsidRDefault="003B4893" w:rsidP="003B4893">
      <w:pPr>
        <w:pStyle w:val="Heading2"/>
      </w:pPr>
      <w:bookmarkStart w:id="17" w:name="_Toc437434760"/>
      <w:r>
        <w:t>Data formats</w:t>
      </w:r>
      <w:bookmarkEnd w:id="17"/>
    </w:p>
    <w:p w:rsidR="003B4893" w:rsidRDefault="003B4893" w:rsidP="003B4893">
      <w:r>
        <w:t>Messages in stage one are constructed using XML and transferred synchronously using SOAP over the HTTPS protocol.</w:t>
      </w:r>
    </w:p>
    <w:p w:rsidR="00C43381" w:rsidRDefault="00C43381" w:rsidP="003B4893">
      <w:r>
        <w:t>Messages will be wrapped as per the diagram below.  The Endeavour message envelope contains routing information, audit and provenance for the request.  It also contains the GP-CIM message – see next section for message types.</w:t>
      </w:r>
    </w:p>
    <w:p w:rsidR="00C43381" w:rsidRDefault="00C43381" w:rsidP="00C43381">
      <w:pPr>
        <w:rPr>
          <w:rFonts w:eastAsiaTheme="majorEastAsia" w:cs="Arial"/>
          <w:sz w:val="32"/>
          <w:szCs w:val="26"/>
        </w:rPr>
      </w:pPr>
      <w:r>
        <w:object w:dxaOrig="4786" w:dyaOrig="4591">
          <v:shape id="_x0000_i1026" type="#_x0000_t75" style="width:187.9pt;height:180.7pt" o:ole="">
            <v:imagedata r:id="rId12" o:title=""/>
          </v:shape>
          <o:OLEObject Type="Embed" ProgID="Visio.Drawing.15" ShapeID="_x0000_i1026" DrawAspect="Content" ObjectID="_1511176595" r:id="rId13"/>
        </w:object>
      </w:r>
    </w:p>
    <w:p w:rsidR="003B4893" w:rsidRDefault="00B26A79" w:rsidP="00D47254">
      <w:pPr>
        <w:pStyle w:val="Heading2"/>
      </w:pPr>
      <w:bookmarkStart w:id="18" w:name="_Toc437434761"/>
      <w:r>
        <w:t>GP-CIM m</w:t>
      </w:r>
      <w:r w:rsidR="00D47254">
        <w:t>essage types</w:t>
      </w:r>
      <w:bookmarkEnd w:id="18"/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4927"/>
        <w:gridCol w:w="4927"/>
      </w:tblGrid>
      <w:tr w:rsidR="003B4893" w:rsidRPr="00632405" w:rsidTr="007A7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7" w:type="dxa"/>
          </w:tcPr>
          <w:p w:rsidR="003B4893" w:rsidRPr="00632405" w:rsidRDefault="003B4893" w:rsidP="007A74FC">
            <w:pPr>
              <w:rPr>
                <w:b/>
                <w:i w:val="0"/>
                <w:sz w:val="22"/>
              </w:rPr>
            </w:pPr>
            <w:r w:rsidRPr="00632405">
              <w:rPr>
                <w:b/>
                <w:i w:val="0"/>
                <w:sz w:val="22"/>
              </w:rPr>
              <w:t>Message name</w:t>
            </w:r>
          </w:p>
        </w:tc>
        <w:tc>
          <w:tcPr>
            <w:tcW w:w="4927" w:type="dxa"/>
          </w:tcPr>
          <w:p w:rsidR="003B4893" w:rsidRPr="00632405" w:rsidRDefault="003B4893" w:rsidP="003B4893">
            <w:pPr>
              <w:rPr>
                <w:b/>
                <w:i w:val="0"/>
                <w:sz w:val="22"/>
              </w:rPr>
            </w:pPr>
            <w:r w:rsidRPr="00632405">
              <w:rPr>
                <w:b/>
                <w:i w:val="0"/>
                <w:sz w:val="22"/>
              </w:rPr>
              <w:t xml:space="preserve">Message </w:t>
            </w:r>
            <w:r>
              <w:rPr>
                <w:b/>
                <w:i w:val="0"/>
                <w:sz w:val="22"/>
              </w:rPr>
              <w:t>type identifier</w:t>
            </w:r>
          </w:p>
        </w:tc>
      </w:tr>
      <w:tr w:rsidR="003B4893" w:rsidTr="007A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</w:tcPr>
          <w:p w:rsidR="003B4893" w:rsidRDefault="003B4893" w:rsidP="007A74FC">
            <w:r>
              <w:t>Trace patient request</w:t>
            </w:r>
          </w:p>
        </w:tc>
        <w:tc>
          <w:tcPr>
            <w:tcW w:w="4927" w:type="dxa"/>
          </w:tcPr>
          <w:p w:rsidR="003B4893" w:rsidRDefault="003B4893" w:rsidP="007A74FC">
            <w:r>
              <w:t>ENDEAVOUR-CIM-TPREQUEST001</w:t>
            </w:r>
          </w:p>
        </w:tc>
      </w:tr>
      <w:tr w:rsidR="003B4893" w:rsidTr="007A74FC">
        <w:tc>
          <w:tcPr>
            <w:tcW w:w="4927" w:type="dxa"/>
          </w:tcPr>
          <w:p w:rsidR="003B4893" w:rsidRDefault="003B4893" w:rsidP="007A74FC">
            <w:r>
              <w:t>Trace patient response</w:t>
            </w:r>
          </w:p>
        </w:tc>
        <w:tc>
          <w:tcPr>
            <w:tcW w:w="4927" w:type="dxa"/>
          </w:tcPr>
          <w:p w:rsidR="003B4893" w:rsidRDefault="003B4893" w:rsidP="007A74FC">
            <w:r>
              <w:t>ENDEAVOUR-CIM-TPRESULTS001</w:t>
            </w:r>
          </w:p>
        </w:tc>
      </w:tr>
      <w:tr w:rsidR="003B4893" w:rsidTr="007A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</w:tcPr>
          <w:p w:rsidR="003B4893" w:rsidRDefault="003B4893" w:rsidP="007A74FC">
            <w:r>
              <w:t>Get patient record (HTML) request</w:t>
            </w:r>
          </w:p>
        </w:tc>
        <w:tc>
          <w:tcPr>
            <w:tcW w:w="4927" w:type="dxa"/>
          </w:tcPr>
          <w:p w:rsidR="003B4893" w:rsidRDefault="005574DA" w:rsidP="007A74FC">
            <w:r w:rsidRPr="005574DA">
              <w:t>ENDEAVOUR-CIM-PRREQUEST001</w:t>
            </w:r>
          </w:p>
        </w:tc>
      </w:tr>
      <w:tr w:rsidR="003B4893" w:rsidTr="007A74FC">
        <w:tc>
          <w:tcPr>
            <w:tcW w:w="4927" w:type="dxa"/>
          </w:tcPr>
          <w:p w:rsidR="003B4893" w:rsidRDefault="003B4893" w:rsidP="007A74FC">
            <w:r>
              <w:t>Get patient record (HTML) response</w:t>
            </w:r>
          </w:p>
        </w:tc>
        <w:tc>
          <w:tcPr>
            <w:tcW w:w="4927" w:type="dxa"/>
          </w:tcPr>
          <w:p w:rsidR="003B4893" w:rsidRDefault="005574DA" w:rsidP="007A74FC">
            <w:r w:rsidRPr="005574DA">
              <w:t>ENDEAVOUR-CIM-PR001</w:t>
            </w:r>
          </w:p>
        </w:tc>
      </w:tr>
      <w:tr w:rsidR="005574DA" w:rsidTr="007A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</w:tcPr>
          <w:p w:rsidR="005574DA" w:rsidRDefault="005574DA" w:rsidP="007A74FC">
            <w:r>
              <w:t>Not found response</w:t>
            </w:r>
          </w:p>
        </w:tc>
        <w:tc>
          <w:tcPr>
            <w:tcW w:w="4927" w:type="dxa"/>
          </w:tcPr>
          <w:p w:rsidR="005574DA" w:rsidRPr="005574DA" w:rsidRDefault="005574DA" w:rsidP="007A74FC">
            <w:r w:rsidRPr="005574DA">
              <w:t>ENDEAVOUR-CIM-NOTFOUND001</w:t>
            </w:r>
          </w:p>
        </w:tc>
      </w:tr>
      <w:tr w:rsidR="003B4893" w:rsidTr="007A74FC">
        <w:tc>
          <w:tcPr>
            <w:tcW w:w="4927" w:type="dxa"/>
          </w:tcPr>
          <w:p w:rsidR="003B4893" w:rsidRDefault="003B4893" w:rsidP="007A74FC">
            <w:r>
              <w:t>Error response</w:t>
            </w:r>
          </w:p>
        </w:tc>
        <w:tc>
          <w:tcPr>
            <w:tcW w:w="4927" w:type="dxa"/>
          </w:tcPr>
          <w:p w:rsidR="003B4893" w:rsidRDefault="005574DA" w:rsidP="007A74FC">
            <w:r w:rsidRPr="005574DA">
              <w:t>ENDEAVOUR-CIM-ERROR001</w:t>
            </w:r>
          </w:p>
        </w:tc>
      </w:tr>
    </w:tbl>
    <w:p w:rsidR="003B4893" w:rsidRPr="00C955B9" w:rsidRDefault="003B4893" w:rsidP="003B4893">
      <w:pPr>
        <w:rPr>
          <w:sz w:val="8"/>
        </w:rPr>
      </w:pPr>
    </w:p>
    <w:p w:rsidR="003B4893" w:rsidRDefault="003B4893" w:rsidP="003B4893">
      <w:r>
        <w:t xml:space="preserve">XML schema representations will be </w:t>
      </w:r>
      <w:r w:rsidR="00C43381">
        <w:t>provided for the above messages.</w:t>
      </w:r>
    </w:p>
    <w:p w:rsidR="000F0EB1" w:rsidRDefault="00BC3AD2" w:rsidP="000F0EB1">
      <w:pPr>
        <w:pStyle w:val="Heading2"/>
      </w:pPr>
      <w:bookmarkStart w:id="19" w:name="_Toc437434762"/>
      <w:r>
        <w:lastRenderedPageBreak/>
        <w:t>Message</w:t>
      </w:r>
      <w:r w:rsidR="00192891">
        <w:t xml:space="preserve"> interactions</w:t>
      </w:r>
      <w:bookmarkEnd w:id="19"/>
    </w:p>
    <w:p w:rsidR="005574DA" w:rsidRPr="005574DA" w:rsidRDefault="00BC3AD2" w:rsidP="005574DA">
      <w:r>
        <w:t>Trace patient message</w:t>
      </w:r>
      <w:r w:rsidR="005574DA">
        <w:t xml:space="preserve"> interactions are as follows:</w:t>
      </w:r>
    </w:p>
    <w:p w:rsidR="00FF53AB" w:rsidRDefault="00192891" w:rsidP="00192891">
      <w:pPr>
        <w:jc w:val="center"/>
      </w:pPr>
      <w:r>
        <w:object w:dxaOrig="7140" w:dyaOrig="5280">
          <v:shape id="_x0000_i1027" type="#_x0000_t75" style="width:357.1pt;height:264.25pt" o:ole="">
            <v:imagedata r:id="rId14" o:title=""/>
          </v:shape>
          <o:OLEObject Type="Embed" ProgID="Visio.Drawing.15" ShapeID="_x0000_i1027" DrawAspect="Content" ObjectID="_1511176596" r:id="rId15"/>
        </w:object>
      </w:r>
    </w:p>
    <w:p w:rsidR="005574DA" w:rsidRDefault="005574DA" w:rsidP="005574DA">
      <w:r>
        <w:t>Get</w:t>
      </w:r>
      <w:r w:rsidR="00BC3AD2">
        <w:t xml:space="preserve"> patient record (HTML) message</w:t>
      </w:r>
      <w:r>
        <w:t xml:space="preserve"> interactions are as follows:</w:t>
      </w:r>
    </w:p>
    <w:p w:rsidR="00192891" w:rsidRPr="00FF53AB" w:rsidRDefault="00192891" w:rsidP="00192891">
      <w:pPr>
        <w:jc w:val="center"/>
      </w:pPr>
      <w:r>
        <w:object w:dxaOrig="7140" w:dyaOrig="5280">
          <v:shape id="_x0000_i1028" type="#_x0000_t75" style="width:357.1pt;height:264.25pt" o:ole="">
            <v:imagedata r:id="rId16" o:title=""/>
          </v:shape>
          <o:OLEObject Type="Embed" ProgID="Visio.Drawing.15" ShapeID="_x0000_i1028" DrawAspect="Content" ObjectID="_1511176597" r:id="rId17"/>
        </w:object>
      </w:r>
    </w:p>
    <w:p w:rsidR="005574DA" w:rsidRDefault="005574DA">
      <w:pPr>
        <w:spacing w:line="259" w:lineRule="auto"/>
        <w:rPr>
          <w:rFonts w:eastAsiaTheme="majorEastAsia" w:cs="Arial"/>
          <w:sz w:val="32"/>
          <w:szCs w:val="26"/>
        </w:rPr>
      </w:pPr>
      <w:r>
        <w:br w:type="page"/>
      </w:r>
    </w:p>
    <w:p w:rsidR="000F0EB1" w:rsidRDefault="004C451B" w:rsidP="000F0EB1">
      <w:pPr>
        <w:pStyle w:val="Heading2"/>
      </w:pPr>
      <w:bookmarkStart w:id="20" w:name="_Toc437434763"/>
      <w:r>
        <w:lastRenderedPageBreak/>
        <w:t>Full message flow</w:t>
      </w:r>
      <w:r w:rsidR="004231A4">
        <w:t>s</w:t>
      </w:r>
      <w:bookmarkEnd w:id="20"/>
    </w:p>
    <w:p w:rsidR="004C451B" w:rsidRDefault="004C451B" w:rsidP="004C451B">
      <w:r>
        <w:t>The following diagrams show the message flow including upstream GP systems.  Message types are not included on these diagrams.</w:t>
      </w:r>
    </w:p>
    <w:p w:rsidR="004C451B" w:rsidRPr="004C451B" w:rsidRDefault="004C451B" w:rsidP="004C451B">
      <w:r>
        <w:t>For trace patient, the GP-CIM sends concurrent trace patient requests to all four GP systems, and consolidates the results into a single response before returning to the subsidiary system:</w:t>
      </w:r>
    </w:p>
    <w:p w:rsidR="003B4893" w:rsidRPr="003B4893" w:rsidRDefault="009B3BBE" w:rsidP="004C451B">
      <w:pPr>
        <w:jc w:val="center"/>
      </w:pPr>
      <w:r>
        <w:object w:dxaOrig="10216" w:dyaOrig="9466">
          <v:shape id="_x0000_i1029" type="#_x0000_t75" style="width:394.55pt;height:365.05pt" o:ole="">
            <v:imagedata r:id="rId18" o:title=""/>
          </v:shape>
          <o:OLEObject Type="Embed" ProgID="Visio.Drawing.15" ShapeID="_x0000_i1029" DrawAspect="Content" ObjectID="_1511176598" r:id="rId19"/>
        </w:object>
      </w:r>
    </w:p>
    <w:p w:rsidR="004C451B" w:rsidRDefault="004C451B">
      <w:pPr>
        <w:spacing w:line="259" w:lineRule="auto"/>
      </w:pPr>
      <w:r>
        <w:br w:type="page"/>
      </w:r>
    </w:p>
    <w:p w:rsidR="004C451B" w:rsidRDefault="004C451B" w:rsidP="000F0EB1">
      <w:r>
        <w:lastRenderedPageBreak/>
        <w:t>The following diagram shows an example get patient record (HTML) call, in this instance the patient</w:t>
      </w:r>
      <w:r w:rsidR="00BC3AD2">
        <w:t>’s record</w:t>
      </w:r>
      <w:r>
        <w:t xml:space="preserve"> is </w:t>
      </w:r>
      <w:r w:rsidR="00BC3AD2">
        <w:t xml:space="preserve">located </w:t>
      </w:r>
      <w:r>
        <w:t>at a practice using the INPS GP system.</w:t>
      </w:r>
    </w:p>
    <w:p w:rsidR="004C451B" w:rsidRPr="007A241F" w:rsidRDefault="004C451B" w:rsidP="000F0EB1">
      <w:r>
        <w:object w:dxaOrig="10216" w:dyaOrig="9916">
          <v:shape id="_x0000_i1030" type="#_x0000_t75" style="width:419.75pt;height:406.8pt" o:ole="">
            <v:imagedata r:id="rId20" o:title=""/>
          </v:shape>
          <o:OLEObject Type="Embed" ProgID="Visio.Drawing.15" ShapeID="_x0000_i1030" DrawAspect="Content" ObjectID="_1511176599" r:id="rId21"/>
        </w:object>
      </w:r>
    </w:p>
    <w:p w:rsidR="000F0EB1" w:rsidRPr="005C0D07" w:rsidRDefault="000F0EB1" w:rsidP="000F0EB1"/>
    <w:p w:rsidR="000F0EB1" w:rsidRDefault="000F0EB1" w:rsidP="00052B94"/>
    <w:p w:rsidR="000F0EB1" w:rsidRDefault="000F0EB1">
      <w:pPr>
        <w:spacing w:line="259" w:lineRule="auto"/>
      </w:pPr>
      <w:r>
        <w:br w:type="page"/>
      </w:r>
    </w:p>
    <w:p w:rsidR="000F0EB1" w:rsidRDefault="000F0EB1" w:rsidP="000F0EB1">
      <w:pPr>
        <w:pStyle w:val="Heading1"/>
      </w:pPr>
      <w:bookmarkStart w:id="21" w:name="_Toc437434764"/>
      <w:r>
        <w:lastRenderedPageBreak/>
        <w:t xml:space="preserve">Stage </w:t>
      </w:r>
      <w:r w:rsidR="009F3C34">
        <w:t>one</w:t>
      </w:r>
      <w:r>
        <w:t xml:space="preserve"> architecture</w:t>
      </w:r>
      <w:r w:rsidR="003B4893">
        <w:t xml:space="preserve"> </w:t>
      </w:r>
      <w:r w:rsidR="004231A4">
        <w:t>summary</w:t>
      </w:r>
      <w:bookmarkEnd w:id="21"/>
    </w:p>
    <w:p w:rsidR="009B3BBE" w:rsidRDefault="009B3BBE" w:rsidP="00052B94">
      <w:r>
        <w:t>This section provides a high level summary of the architecture involved for interested readers.  It is not intended as a design blueprint.</w:t>
      </w:r>
    </w:p>
    <w:p w:rsidR="004231A4" w:rsidRDefault="004231A4" w:rsidP="004231A4">
      <w:pPr>
        <w:pStyle w:val="Heading2"/>
      </w:pPr>
      <w:bookmarkStart w:id="22" w:name="_Toc437434765"/>
      <w:r>
        <w:t>Architecture</w:t>
      </w:r>
      <w:bookmarkEnd w:id="22"/>
    </w:p>
    <w:p w:rsidR="00052B94" w:rsidRDefault="000F0EB1" w:rsidP="00052B94">
      <w:r>
        <w:t>The GP-C</w:t>
      </w:r>
      <w:r w:rsidR="00052B94">
        <w:t>IM will use a common data centre architecture as shown below using:</w:t>
      </w:r>
    </w:p>
    <w:p w:rsidR="00052B94" w:rsidRDefault="00052B94" w:rsidP="00052B94">
      <w:pPr>
        <w:pStyle w:val="ListParagraph"/>
        <w:numPr>
          <w:ilvl w:val="0"/>
          <w:numId w:val="3"/>
        </w:numPr>
      </w:pPr>
      <w:r>
        <w:t xml:space="preserve">Load balanced stateless application servers </w:t>
      </w:r>
      <w:r w:rsidR="009F3C34">
        <w:t>providing</w:t>
      </w:r>
      <w:r>
        <w:t xml:space="preserve"> horizontal scalability,</w:t>
      </w:r>
    </w:p>
    <w:p w:rsidR="00052B94" w:rsidRDefault="00052B94" w:rsidP="00052B94">
      <w:pPr>
        <w:pStyle w:val="ListParagraph"/>
        <w:numPr>
          <w:ilvl w:val="0"/>
          <w:numId w:val="3"/>
        </w:numPr>
      </w:pPr>
      <w:r>
        <w:t>A data storage platform with in-built partitioning and redundancy;</w:t>
      </w:r>
    </w:p>
    <w:p w:rsidR="00052B94" w:rsidRDefault="00052B94" w:rsidP="00052B94">
      <w:pPr>
        <w:pStyle w:val="ListParagraph"/>
        <w:numPr>
          <w:ilvl w:val="0"/>
          <w:numId w:val="3"/>
        </w:numPr>
      </w:pPr>
      <w:r>
        <w:t>A management and monitoring console;</w:t>
      </w:r>
    </w:p>
    <w:p w:rsidR="00052B94" w:rsidRPr="00635F30" w:rsidRDefault="00052B94" w:rsidP="00052B94">
      <w:r>
        <w:object w:dxaOrig="13425" w:dyaOrig="11820">
          <v:shape id="_x0000_i1031" type="#_x0000_t75" style="width:459.35pt;height:403.9pt" o:ole="">
            <v:imagedata r:id="rId22" o:title=""/>
          </v:shape>
          <o:OLEObject Type="Embed" ProgID="Visio.Drawing.15" ShapeID="_x0000_i1031" DrawAspect="Content" ObjectID="_1511176600" r:id="rId23"/>
        </w:object>
      </w:r>
    </w:p>
    <w:p w:rsidR="004C451B" w:rsidRDefault="009B3BBE" w:rsidP="004C451B">
      <w:pPr>
        <w:pStyle w:val="Heading2"/>
      </w:pPr>
      <w:bookmarkStart w:id="23" w:name="_Toc437434766"/>
      <w:r>
        <w:lastRenderedPageBreak/>
        <w:t>T</w:t>
      </w:r>
      <w:r w:rsidR="004C451B">
        <w:t>echnologies</w:t>
      </w:r>
      <w:bookmarkEnd w:id="23"/>
    </w:p>
    <w:p w:rsidR="004C451B" w:rsidRDefault="004C451B" w:rsidP="004C451B">
      <w:r>
        <w:t xml:space="preserve">The GP-CIM will be open source, and built on an open source platform to </w:t>
      </w:r>
      <w:r w:rsidR="009B3BBE">
        <w:t>promote code sharing and minimisation of cost in horizontal scaling</w:t>
      </w:r>
      <w:r>
        <w:t>.</w:t>
      </w:r>
    </w:p>
    <w:p w:rsidR="004C451B" w:rsidRDefault="004C451B" w:rsidP="004C451B">
      <w:r>
        <w:t>The following are suggestions at this stage though may be change during implementation:</w:t>
      </w:r>
    </w:p>
    <w:tbl>
      <w:tblPr>
        <w:tblStyle w:val="PlainTable5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4927"/>
        <w:gridCol w:w="4927"/>
      </w:tblGrid>
      <w:tr w:rsidR="004C451B" w:rsidRPr="00490A84" w:rsidTr="007A7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27" w:type="dxa"/>
            <w:tcBorders>
              <w:bottom w:val="none" w:sz="0" w:space="0" w:color="auto"/>
            </w:tcBorders>
          </w:tcPr>
          <w:p w:rsidR="004C451B" w:rsidRPr="00490A84" w:rsidRDefault="004C451B" w:rsidP="007A74FC">
            <w:pPr>
              <w:rPr>
                <w:b/>
                <w:i w:val="0"/>
                <w:sz w:val="22"/>
              </w:rPr>
            </w:pPr>
            <w:r w:rsidRPr="00490A84">
              <w:rPr>
                <w:b/>
                <w:i w:val="0"/>
                <w:sz w:val="22"/>
              </w:rPr>
              <w:t>Purpose</w:t>
            </w:r>
          </w:p>
        </w:tc>
        <w:tc>
          <w:tcPr>
            <w:tcW w:w="4927" w:type="dxa"/>
            <w:tcBorders>
              <w:bottom w:val="none" w:sz="0" w:space="0" w:color="auto"/>
            </w:tcBorders>
          </w:tcPr>
          <w:p w:rsidR="004C451B" w:rsidRPr="00490A84" w:rsidRDefault="004C451B" w:rsidP="007A74FC">
            <w:pPr>
              <w:rPr>
                <w:b/>
                <w:i w:val="0"/>
                <w:sz w:val="22"/>
              </w:rPr>
            </w:pPr>
            <w:r w:rsidRPr="00490A84">
              <w:rPr>
                <w:b/>
                <w:i w:val="0"/>
                <w:sz w:val="22"/>
              </w:rPr>
              <w:t>Suggested technology</w:t>
            </w:r>
            <w:r>
              <w:rPr>
                <w:b/>
                <w:i w:val="0"/>
                <w:sz w:val="22"/>
              </w:rPr>
              <w:t>/product</w:t>
            </w:r>
          </w:p>
        </w:tc>
      </w:tr>
      <w:tr w:rsidR="004C451B" w:rsidTr="007A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</w:tcPr>
          <w:p w:rsidR="004C451B" w:rsidRDefault="004C451B" w:rsidP="007A74FC">
            <w:r>
              <w:t>Operating systems</w:t>
            </w:r>
          </w:p>
        </w:tc>
        <w:tc>
          <w:tcPr>
            <w:tcW w:w="4927" w:type="dxa"/>
          </w:tcPr>
          <w:p w:rsidR="004C451B" w:rsidRDefault="004C451B" w:rsidP="007A74FC">
            <w:r>
              <w:t>Linux</w:t>
            </w:r>
          </w:p>
        </w:tc>
      </w:tr>
      <w:tr w:rsidR="004C451B" w:rsidTr="007A74FC">
        <w:tc>
          <w:tcPr>
            <w:tcW w:w="4927" w:type="dxa"/>
          </w:tcPr>
          <w:p w:rsidR="004C451B" w:rsidRDefault="004C451B" w:rsidP="007A74FC">
            <w:r>
              <w:t>Load balancer, SSL termination</w:t>
            </w:r>
          </w:p>
        </w:tc>
        <w:tc>
          <w:tcPr>
            <w:tcW w:w="4927" w:type="dxa"/>
          </w:tcPr>
          <w:p w:rsidR="004C451B" w:rsidRDefault="004C451B" w:rsidP="007A74FC">
            <w:r>
              <w:t>Nginx/</w:t>
            </w:r>
            <w:proofErr w:type="spellStart"/>
            <w:r>
              <w:t>Haproxy</w:t>
            </w:r>
            <w:proofErr w:type="spellEnd"/>
          </w:p>
        </w:tc>
      </w:tr>
      <w:tr w:rsidR="004C451B" w:rsidTr="007A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</w:tcPr>
          <w:p w:rsidR="004C451B" w:rsidRDefault="004C451B" w:rsidP="007A74FC">
            <w:r>
              <w:t>Languages</w:t>
            </w:r>
          </w:p>
        </w:tc>
        <w:tc>
          <w:tcPr>
            <w:tcW w:w="4927" w:type="dxa"/>
          </w:tcPr>
          <w:p w:rsidR="004C451B" w:rsidRDefault="004C451B" w:rsidP="007A74FC">
            <w:r>
              <w:t>Java, CQL</w:t>
            </w:r>
          </w:p>
        </w:tc>
      </w:tr>
      <w:tr w:rsidR="004C451B" w:rsidTr="007A74FC">
        <w:tc>
          <w:tcPr>
            <w:tcW w:w="4927" w:type="dxa"/>
          </w:tcPr>
          <w:p w:rsidR="004C451B" w:rsidRDefault="004C451B" w:rsidP="007A74FC">
            <w:r>
              <w:t>Application server</w:t>
            </w:r>
          </w:p>
        </w:tc>
        <w:tc>
          <w:tcPr>
            <w:tcW w:w="4927" w:type="dxa"/>
          </w:tcPr>
          <w:p w:rsidR="004C451B" w:rsidRDefault="004C451B" w:rsidP="007A74FC">
            <w:r>
              <w:t>Tomcat/Jetty</w:t>
            </w:r>
          </w:p>
        </w:tc>
      </w:tr>
      <w:tr w:rsidR="004C451B" w:rsidTr="007A7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27" w:type="dxa"/>
          </w:tcPr>
          <w:p w:rsidR="004C451B" w:rsidRDefault="004C451B" w:rsidP="007A74FC">
            <w:r>
              <w:t>Data storage</w:t>
            </w:r>
          </w:p>
        </w:tc>
        <w:tc>
          <w:tcPr>
            <w:tcW w:w="4927" w:type="dxa"/>
          </w:tcPr>
          <w:p w:rsidR="004C451B" w:rsidRDefault="004C451B" w:rsidP="007A74FC">
            <w:r>
              <w:t>Cassandra</w:t>
            </w:r>
          </w:p>
        </w:tc>
      </w:tr>
    </w:tbl>
    <w:p w:rsidR="00052B94" w:rsidRDefault="00052B94" w:rsidP="00052B94">
      <w:pPr>
        <w:pStyle w:val="Heading2"/>
      </w:pPr>
      <w:bookmarkStart w:id="24" w:name="_Toc437434767"/>
      <w:r>
        <w:t>Hosting and connectivity</w:t>
      </w:r>
      <w:bookmarkEnd w:id="24"/>
    </w:p>
    <w:p w:rsidR="00052B94" w:rsidRDefault="00052B94" w:rsidP="00052B94">
      <w:r>
        <w:t>The GP-CIM interface will be exposed to the N3 network only and will NOT accessible via the internet.  Therefore, subsidiary systems must have N3 connectivity to communicate with the interface.</w:t>
      </w:r>
    </w:p>
    <w:p w:rsidR="00052B94" w:rsidRDefault="00052B94" w:rsidP="00052B94">
      <w:r>
        <w:t>Likewise, onward connections made to GP systems will also be made over the N3 network.</w:t>
      </w:r>
    </w:p>
    <w:p w:rsidR="00052B94" w:rsidRDefault="00052B94" w:rsidP="00052B94">
      <w:r>
        <w:t>The GP-SIM will be hosted on the in two separate N3 connected data centres with automatic failover should one data centre lose connectivity or be out of operation.</w:t>
      </w:r>
    </w:p>
    <w:p w:rsidR="00052B94" w:rsidRDefault="004C451B" w:rsidP="00052B94">
      <w:pPr>
        <w:pStyle w:val="Heading2"/>
      </w:pPr>
      <w:bookmarkStart w:id="25" w:name="_Toc437434768"/>
      <w:r>
        <w:t>Authentication</w:t>
      </w:r>
      <w:bookmarkEnd w:id="25"/>
    </w:p>
    <w:p w:rsidR="002C04A3" w:rsidRDefault="002C04A3" w:rsidP="00052B94">
      <w:r>
        <w:t xml:space="preserve">Messages will be encrypted on the wire using </w:t>
      </w:r>
      <w:r w:rsidR="00A66A86">
        <w:t>transport layer security (TLS) with mutual certificate authentication to identify and authenticate the sending system.</w:t>
      </w:r>
    </w:p>
    <w:p w:rsidR="004C451B" w:rsidRDefault="004C451B" w:rsidP="00052B94"/>
    <w:sectPr w:rsidR="004C451B" w:rsidSect="000C3C7C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021" w:right="1021" w:bottom="1021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7F22" w:rsidRDefault="00F47F22" w:rsidP="003450AB">
      <w:pPr>
        <w:spacing w:after="0" w:line="240" w:lineRule="auto"/>
      </w:pPr>
      <w:r>
        <w:separator/>
      </w:r>
    </w:p>
  </w:endnote>
  <w:endnote w:type="continuationSeparator" w:id="0">
    <w:p w:rsidR="00F47F22" w:rsidRDefault="00F47F22" w:rsidP="0034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Pr="0035425B" w:rsidRDefault="00624C02" w:rsidP="00C83D57">
    <w:pPr>
      <w:pStyle w:val="Footer"/>
      <w:pBdr>
        <w:top w:val="single" w:sz="8" w:space="1" w:color="406D92"/>
      </w:pBdr>
      <w:jc w:val="right"/>
      <w:rPr>
        <w:rFonts w:cs="Arial"/>
        <w:color w:val="406D92"/>
        <w:sz w:val="14"/>
      </w:rPr>
    </w:pPr>
  </w:p>
  <w:p w:rsidR="00624C02" w:rsidRPr="00865545" w:rsidRDefault="00624C02" w:rsidP="0035425B">
    <w:pPr>
      <w:pStyle w:val="Footer"/>
      <w:pBdr>
        <w:top w:val="single" w:sz="8" w:space="1" w:color="406D92"/>
      </w:pBdr>
      <w:rPr>
        <w:rFonts w:cs="Arial"/>
        <w:color w:val="406D92"/>
        <w:sz w:val="18"/>
      </w:rPr>
    </w:pPr>
    <w:r w:rsidRPr="0035425B">
      <w:rPr>
        <w:rFonts w:cs="Arial"/>
        <w:color w:val="406D92"/>
        <w:sz w:val="18"/>
      </w:rPr>
      <w:t xml:space="preserve">Page </w:t>
    </w:r>
    <w:r w:rsidRPr="0035425B">
      <w:rPr>
        <w:rFonts w:cs="Arial"/>
        <w:bCs/>
        <w:color w:val="406D92"/>
        <w:sz w:val="18"/>
      </w:rPr>
      <w:fldChar w:fldCharType="begin"/>
    </w:r>
    <w:r w:rsidRPr="0035425B">
      <w:rPr>
        <w:rFonts w:cs="Arial"/>
        <w:bCs/>
        <w:color w:val="406D92"/>
        <w:sz w:val="18"/>
      </w:rPr>
      <w:instrText xml:space="preserve"> PAGE  \* Arabic  \* MERGEFORMAT </w:instrText>
    </w:r>
    <w:r w:rsidRPr="0035425B">
      <w:rPr>
        <w:rFonts w:cs="Arial"/>
        <w:bCs/>
        <w:color w:val="406D92"/>
        <w:sz w:val="18"/>
      </w:rPr>
      <w:fldChar w:fldCharType="separate"/>
    </w:r>
    <w:r w:rsidR="00E45599">
      <w:rPr>
        <w:rFonts w:cs="Arial"/>
        <w:bCs/>
        <w:noProof/>
        <w:color w:val="406D92"/>
        <w:sz w:val="18"/>
      </w:rPr>
      <w:t>17</w:t>
    </w:r>
    <w:r w:rsidRPr="0035425B">
      <w:rPr>
        <w:rFonts w:cs="Arial"/>
        <w:bCs/>
        <w:color w:val="406D92"/>
        <w:sz w:val="18"/>
      </w:rPr>
      <w:fldChar w:fldCharType="end"/>
    </w:r>
    <w:r w:rsidRPr="0035425B">
      <w:rPr>
        <w:rFonts w:cs="Arial"/>
        <w:color w:val="406D92"/>
        <w:sz w:val="18"/>
      </w:rPr>
      <w:t xml:space="preserve"> of </w:t>
    </w:r>
    <w:r w:rsidRPr="0035425B">
      <w:rPr>
        <w:rFonts w:cs="Arial"/>
        <w:bCs/>
        <w:color w:val="406D92"/>
        <w:sz w:val="18"/>
      </w:rPr>
      <w:fldChar w:fldCharType="begin"/>
    </w:r>
    <w:r w:rsidRPr="0035425B">
      <w:rPr>
        <w:rFonts w:cs="Arial"/>
        <w:bCs/>
        <w:color w:val="406D92"/>
        <w:sz w:val="18"/>
      </w:rPr>
      <w:instrText xml:space="preserve"> NUMPAGES  \* Arabic  \* MERGEFORMAT </w:instrText>
    </w:r>
    <w:r w:rsidRPr="0035425B">
      <w:rPr>
        <w:rFonts w:cs="Arial"/>
        <w:bCs/>
        <w:color w:val="406D92"/>
        <w:sz w:val="18"/>
      </w:rPr>
      <w:fldChar w:fldCharType="separate"/>
    </w:r>
    <w:r w:rsidR="00E45599">
      <w:rPr>
        <w:rFonts w:cs="Arial"/>
        <w:bCs/>
        <w:noProof/>
        <w:color w:val="406D92"/>
        <w:sz w:val="18"/>
      </w:rPr>
      <w:t>17</w:t>
    </w:r>
    <w:r w:rsidRPr="0035425B">
      <w:rPr>
        <w:rFonts w:cs="Arial"/>
        <w:bCs/>
        <w:color w:val="406D92"/>
        <w:sz w:val="18"/>
      </w:rPr>
      <w:fldChar w:fldCharType="end"/>
    </w:r>
    <w:r>
      <w:rPr>
        <w:rFonts w:cs="Arial"/>
        <w:color w:val="406D92"/>
        <w:sz w:val="18"/>
      </w:rPr>
      <w:t xml:space="preserve"> </w:t>
    </w:r>
    <w:r>
      <w:rPr>
        <w:rFonts w:cs="Arial"/>
        <w:color w:val="406D92"/>
        <w:sz w:val="18"/>
      </w:rPr>
      <w:ptab w:relativeTo="margin" w:alignment="right" w:leader="none"/>
    </w:r>
    <w:r w:rsidRPr="00865545">
      <w:rPr>
        <w:rFonts w:cs="Arial"/>
        <w:color w:val="406D92"/>
        <w:sz w:val="18"/>
      </w:rPr>
      <w:t>Copyright © 2015 Endeavour Health Charitable Trust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Pr="00C95D1F" w:rsidRDefault="00624C02" w:rsidP="00C95D1F">
    <w:pPr>
      <w:pStyle w:val="Footer"/>
      <w:pBdr>
        <w:top w:val="single" w:sz="8" w:space="1" w:color="406D92"/>
      </w:pBdr>
      <w:jc w:val="right"/>
      <w:rPr>
        <w:sz w:val="14"/>
      </w:rPr>
    </w:pPr>
  </w:p>
  <w:p w:rsidR="00624C02" w:rsidRPr="00865545" w:rsidRDefault="00624C02" w:rsidP="00C95D1F">
    <w:pPr>
      <w:pStyle w:val="Footer"/>
      <w:pBdr>
        <w:top w:val="single" w:sz="8" w:space="1" w:color="406D92"/>
      </w:pBdr>
      <w:jc w:val="right"/>
      <w:rPr>
        <w:rFonts w:cs="Arial"/>
        <w:color w:val="406D92"/>
        <w:sz w:val="18"/>
      </w:rPr>
    </w:pPr>
    <w:r w:rsidRPr="00865545">
      <w:rPr>
        <w:rFonts w:cs="Arial"/>
        <w:color w:val="406D92"/>
        <w:sz w:val="18"/>
      </w:rPr>
      <w:t>Copyright © 2015 Endeavour Health Charitable Trust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7F22" w:rsidRDefault="00F47F22" w:rsidP="003450AB">
      <w:pPr>
        <w:spacing w:after="0" w:line="240" w:lineRule="auto"/>
      </w:pPr>
      <w:r>
        <w:separator/>
      </w:r>
    </w:p>
  </w:footnote>
  <w:footnote w:type="continuationSeparator" w:id="0">
    <w:p w:rsidR="00F47F22" w:rsidRDefault="00F47F22" w:rsidP="00345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Pr="00C83D57" w:rsidRDefault="00624C02" w:rsidP="0035425B">
    <w:pPr>
      <w:pStyle w:val="Header"/>
      <w:pBdr>
        <w:bottom w:val="single" w:sz="8" w:space="1" w:color="406D92"/>
      </w:pBdr>
      <w:tabs>
        <w:tab w:val="clear" w:pos="4513"/>
        <w:tab w:val="clear" w:pos="9026"/>
      </w:tabs>
      <w:rPr>
        <w:rFonts w:cs="Arial"/>
        <w:color w:val="406D92"/>
        <w:sz w:val="18"/>
      </w:rPr>
    </w:pPr>
    <w:r>
      <w:rPr>
        <w:rFonts w:cs="Arial"/>
        <w:color w:val="406D92"/>
        <w:sz w:val="18"/>
      </w:rPr>
      <w:t>General Practice Common Interface Mechanism</w:t>
    </w:r>
    <w:r w:rsidRPr="00C83D57">
      <w:rPr>
        <w:rFonts w:cs="Arial"/>
        <w:color w:val="406D92"/>
        <w:sz w:val="18"/>
      </w:rPr>
      <w:tab/>
    </w:r>
    <w:r>
      <w:rPr>
        <w:rFonts w:cs="Arial"/>
        <w:color w:val="406D92"/>
        <w:sz w:val="18"/>
      </w:rPr>
      <w:ptab w:relativeTo="margin" w:alignment="right" w:leader="none"/>
    </w:r>
    <w:r w:rsidR="009B3BBE">
      <w:rPr>
        <w:rFonts w:cs="Arial"/>
        <w:color w:val="406D92"/>
        <w:sz w:val="18"/>
      </w:rPr>
      <w:t>v0.9 DRAFT FOR REVIEW   09</w:t>
    </w:r>
    <w:r>
      <w:rPr>
        <w:rFonts w:cs="Arial"/>
        <w:color w:val="406D92"/>
        <w:sz w:val="18"/>
      </w:rPr>
      <w:t>/12/</w:t>
    </w:r>
    <w:r w:rsidRPr="00C83D57">
      <w:rPr>
        <w:rFonts w:cs="Arial"/>
        <w:color w:val="406D92"/>
        <w:sz w:val="18"/>
      </w:rPr>
      <w:t>2015</w:t>
    </w:r>
  </w:p>
  <w:p w:rsidR="00624C02" w:rsidRPr="0035425B" w:rsidRDefault="00624C02" w:rsidP="00C83D57">
    <w:pPr>
      <w:pStyle w:val="Header"/>
      <w:pBdr>
        <w:bottom w:val="single" w:sz="8" w:space="1" w:color="406D92"/>
      </w:pBdr>
      <w:tabs>
        <w:tab w:val="clear" w:pos="4513"/>
        <w:tab w:val="clear" w:pos="9026"/>
      </w:tabs>
      <w:rPr>
        <w:rFonts w:cs="Arial"/>
        <w:color w:val="406D92"/>
        <w:sz w:val="14"/>
      </w:rPr>
    </w:pPr>
  </w:p>
  <w:p w:rsidR="00624C02" w:rsidRDefault="00624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C02" w:rsidRDefault="00624C02" w:rsidP="003450AB">
    <w:pPr>
      <w:pStyle w:val="Header"/>
      <w:tabs>
        <w:tab w:val="clear" w:pos="4513"/>
        <w:tab w:val="clear" w:pos="9026"/>
        <w:tab w:val="left" w:pos="990"/>
      </w:tabs>
    </w:pPr>
    <w:r>
      <w:rPr>
        <w:noProof/>
        <w:lang w:eastAsia="en-GB"/>
      </w:rPr>
      <w:drawing>
        <wp:inline distT="0" distB="0" distL="0" distR="0" wp14:anchorId="7DE91937" wp14:editId="72794E62">
          <wp:extent cx="2905125" cy="5715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51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C02" w:rsidRPr="00865545" w:rsidRDefault="00624C02" w:rsidP="00865545">
    <w:pPr>
      <w:pStyle w:val="Header"/>
      <w:pBdr>
        <w:bottom w:val="single" w:sz="8" w:space="1" w:color="406D92"/>
      </w:pBdr>
      <w:tabs>
        <w:tab w:val="clear" w:pos="4513"/>
        <w:tab w:val="clear" w:pos="9026"/>
        <w:tab w:val="left" w:pos="990"/>
      </w:tabs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3CBC"/>
    <w:multiLevelType w:val="hybridMultilevel"/>
    <w:tmpl w:val="751AEF46"/>
    <w:lvl w:ilvl="0" w:tplc="707A8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6792D"/>
    <w:multiLevelType w:val="hybridMultilevel"/>
    <w:tmpl w:val="9A7E608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7DAA"/>
    <w:multiLevelType w:val="hybridMultilevel"/>
    <w:tmpl w:val="0E506A1E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502CB6"/>
    <w:multiLevelType w:val="hybridMultilevel"/>
    <w:tmpl w:val="F3E66378"/>
    <w:lvl w:ilvl="0" w:tplc="04487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6E2F06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11ABE"/>
    <w:multiLevelType w:val="hybridMultilevel"/>
    <w:tmpl w:val="2D20960C"/>
    <w:lvl w:ilvl="0" w:tplc="8BCA6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6299"/>
    <w:multiLevelType w:val="hybridMultilevel"/>
    <w:tmpl w:val="4D4AA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44C5"/>
    <w:multiLevelType w:val="hybridMultilevel"/>
    <w:tmpl w:val="FE603DA4"/>
    <w:lvl w:ilvl="0" w:tplc="449465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E4235"/>
    <w:multiLevelType w:val="hybridMultilevel"/>
    <w:tmpl w:val="20D88792"/>
    <w:lvl w:ilvl="0" w:tplc="EC18F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EA145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716DA"/>
    <w:multiLevelType w:val="hybridMultilevel"/>
    <w:tmpl w:val="3D7890F8"/>
    <w:lvl w:ilvl="0" w:tplc="21BC8B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52E78"/>
    <w:multiLevelType w:val="hybridMultilevel"/>
    <w:tmpl w:val="0DBE9290"/>
    <w:lvl w:ilvl="0" w:tplc="891426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328C65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10BCF"/>
    <w:multiLevelType w:val="hybridMultilevel"/>
    <w:tmpl w:val="DD34938E"/>
    <w:lvl w:ilvl="0" w:tplc="D4ECEB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30C49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A0BAD"/>
    <w:multiLevelType w:val="hybridMultilevel"/>
    <w:tmpl w:val="4480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86C2C"/>
    <w:multiLevelType w:val="hybridMultilevel"/>
    <w:tmpl w:val="50E25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AB"/>
    <w:rsid w:val="00010039"/>
    <w:rsid w:val="00052B94"/>
    <w:rsid w:val="00067C56"/>
    <w:rsid w:val="000902D8"/>
    <w:rsid w:val="000A284A"/>
    <w:rsid w:val="000A318D"/>
    <w:rsid w:val="000B6A77"/>
    <w:rsid w:val="000C3C7C"/>
    <w:rsid w:val="000D1C35"/>
    <w:rsid w:val="000E1EBF"/>
    <w:rsid w:val="000F0EB1"/>
    <w:rsid w:val="00115883"/>
    <w:rsid w:val="001533F3"/>
    <w:rsid w:val="00176F39"/>
    <w:rsid w:val="00185B05"/>
    <w:rsid w:val="00192891"/>
    <w:rsid w:val="00192FEE"/>
    <w:rsid w:val="001B6F08"/>
    <w:rsid w:val="001D25A7"/>
    <w:rsid w:val="001F2C39"/>
    <w:rsid w:val="0027604A"/>
    <w:rsid w:val="0028444B"/>
    <w:rsid w:val="00296D71"/>
    <w:rsid w:val="002B26DE"/>
    <w:rsid w:val="002C04A3"/>
    <w:rsid w:val="002F0226"/>
    <w:rsid w:val="002F0D2F"/>
    <w:rsid w:val="002F544A"/>
    <w:rsid w:val="00300596"/>
    <w:rsid w:val="003320C1"/>
    <w:rsid w:val="003450AB"/>
    <w:rsid w:val="003539DB"/>
    <w:rsid w:val="0035425B"/>
    <w:rsid w:val="003B4893"/>
    <w:rsid w:val="003B665C"/>
    <w:rsid w:val="004038DF"/>
    <w:rsid w:val="004231A4"/>
    <w:rsid w:val="00462258"/>
    <w:rsid w:val="00490A84"/>
    <w:rsid w:val="004C451B"/>
    <w:rsid w:val="004F465C"/>
    <w:rsid w:val="0055130F"/>
    <w:rsid w:val="005574DA"/>
    <w:rsid w:val="00582C10"/>
    <w:rsid w:val="005C0D07"/>
    <w:rsid w:val="005D1E43"/>
    <w:rsid w:val="00624C02"/>
    <w:rsid w:val="00632405"/>
    <w:rsid w:val="00635F30"/>
    <w:rsid w:val="006702EB"/>
    <w:rsid w:val="00694AF2"/>
    <w:rsid w:val="00694D68"/>
    <w:rsid w:val="006E294E"/>
    <w:rsid w:val="00706B1B"/>
    <w:rsid w:val="00720D0F"/>
    <w:rsid w:val="00723558"/>
    <w:rsid w:val="00754825"/>
    <w:rsid w:val="007924BF"/>
    <w:rsid w:val="007A241F"/>
    <w:rsid w:val="007C1C3D"/>
    <w:rsid w:val="007C6C88"/>
    <w:rsid w:val="007D688C"/>
    <w:rsid w:val="0081376D"/>
    <w:rsid w:val="008268AE"/>
    <w:rsid w:val="00846A80"/>
    <w:rsid w:val="00865545"/>
    <w:rsid w:val="008B5D3C"/>
    <w:rsid w:val="008C4B73"/>
    <w:rsid w:val="008F22EA"/>
    <w:rsid w:val="0090547E"/>
    <w:rsid w:val="0093754D"/>
    <w:rsid w:val="0094067B"/>
    <w:rsid w:val="00997A9A"/>
    <w:rsid w:val="009A4B7D"/>
    <w:rsid w:val="009A4C71"/>
    <w:rsid w:val="009B3BBE"/>
    <w:rsid w:val="009C13E7"/>
    <w:rsid w:val="009D52DC"/>
    <w:rsid w:val="009E776F"/>
    <w:rsid w:val="009F3C34"/>
    <w:rsid w:val="00A05EE5"/>
    <w:rsid w:val="00A067D6"/>
    <w:rsid w:val="00A401EF"/>
    <w:rsid w:val="00A45076"/>
    <w:rsid w:val="00A4717D"/>
    <w:rsid w:val="00A66A86"/>
    <w:rsid w:val="00AA2AC8"/>
    <w:rsid w:val="00AC4914"/>
    <w:rsid w:val="00AD0BE1"/>
    <w:rsid w:val="00AF599D"/>
    <w:rsid w:val="00B26A79"/>
    <w:rsid w:val="00B81356"/>
    <w:rsid w:val="00B83B5D"/>
    <w:rsid w:val="00BC3AD2"/>
    <w:rsid w:val="00C05EBC"/>
    <w:rsid w:val="00C071AC"/>
    <w:rsid w:val="00C41F49"/>
    <w:rsid w:val="00C43381"/>
    <w:rsid w:val="00C45CA9"/>
    <w:rsid w:val="00C55C91"/>
    <w:rsid w:val="00C6142A"/>
    <w:rsid w:val="00C83D57"/>
    <w:rsid w:val="00C955B9"/>
    <w:rsid w:val="00C95D1F"/>
    <w:rsid w:val="00CA0397"/>
    <w:rsid w:val="00CA1A71"/>
    <w:rsid w:val="00D11D63"/>
    <w:rsid w:val="00D15F8E"/>
    <w:rsid w:val="00D47254"/>
    <w:rsid w:val="00D502BA"/>
    <w:rsid w:val="00D60E44"/>
    <w:rsid w:val="00D66BA6"/>
    <w:rsid w:val="00DB0DD2"/>
    <w:rsid w:val="00DE20DE"/>
    <w:rsid w:val="00DE29F8"/>
    <w:rsid w:val="00DF55B6"/>
    <w:rsid w:val="00E01EDD"/>
    <w:rsid w:val="00E369D1"/>
    <w:rsid w:val="00E41671"/>
    <w:rsid w:val="00E45599"/>
    <w:rsid w:val="00E47A94"/>
    <w:rsid w:val="00E50806"/>
    <w:rsid w:val="00E5238B"/>
    <w:rsid w:val="00E527C7"/>
    <w:rsid w:val="00E61C07"/>
    <w:rsid w:val="00E92038"/>
    <w:rsid w:val="00EA688E"/>
    <w:rsid w:val="00EF3558"/>
    <w:rsid w:val="00F0184E"/>
    <w:rsid w:val="00F47F22"/>
    <w:rsid w:val="00F642E2"/>
    <w:rsid w:val="00F87CD7"/>
    <w:rsid w:val="00F96D58"/>
    <w:rsid w:val="00FA0895"/>
    <w:rsid w:val="00FC056D"/>
    <w:rsid w:val="00FC2657"/>
    <w:rsid w:val="00FF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A31A"/>
  <w15:chartTrackingRefBased/>
  <w15:docId w15:val="{AA1A5431-9CC4-4B81-B73F-EBCB52FD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3E7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558"/>
    <w:pPr>
      <w:spacing w:before="240"/>
      <w:outlineLvl w:val="0"/>
    </w:pPr>
    <w:rPr>
      <w:rFonts w:cs="Arial"/>
      <w:sz w:val="48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2EB"/>
    <w:pPr>
      <w:keepNext/>
      <w:keepLines/>
      <w:spacing w:before="240" w:after="240"/>
      <w:outlineLvl w:val="1"/>
    </w:pPr>
    <w:rPr>
      <w:rFonts w:eastAsiaTheme="majorEastAsia" w:cs="Arial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1D63"/>
    <w:pPr>
      <w:keepNext/>
      <w:keepLines/>
      <w:spacing w:before="40" w:after="0"/>
      <w:outlineLvl w:val="2"/>
    </w:pPr>
    <w:rPr>
      <w:rFonts w:eastAsiaTheme="majorEastAsia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AB"/>
  </w:style>
  <w:style w:type="paragraph" w:styleId="Footer">
    <w:name w:val="footer"/>
    <w:basedOn w:val="Normal"/>
    <w:link w:val="FooterChar"/>
    <w:uiPriority w:val="99"/>
    <w:unhideWhenUsed/>
    <w:rsid w:val="0034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AB"/>
  </w:style>
  <w:style w:type="paragraph" w:customStyle="1" w:styleId="Documenttitle">
    <w:name w:val="Document title"/>
    <w:basedOn w:val="Normal"/>
    <w:link w:val="DocumenttitleChar"/>
    <w:qFormat/>
    <w:rsid w:val="00C95D1F"/>
    <w:pPr>
      <w:suppressAutoHyphens/>
      <w:spacing w:after="140" w:line="240" w:lineRule="auto"/>
      <w:textboxTightWrap w:val="allLines"/>
    </w:pPr>
    <w:rPr>
      <w:rFonts w:eastAsia="Times New Roman" w:cs="Times New Roman"/>
      <w:color w:val="003350"/>
      <w:sz w:val="70"/>
      <w:szCs w:val="70"/>
      <w:lang w:eastAsia="en-GB"/>
    </w:rPr>
  </w:style>
  <w:style w:type="character" w:customStyle="1" w:styleId="DocumenttitleChar">
    <w:name w:val="Document title Char"/>
    <w:basedOn w:val="DefaultParagraphFont"/>
    <w:link w:val="Documenttitle"/>
    <w:rsid w:val="00C95D1F"/>
    <w:rPr>
      <w:rFonts w:ascii="Arial" w:eastAsia="Times New Roman" w:hAnsi="Arial" w:cs="Times New Roman"/>
      <w:color w:val="003350"/>
      <w:sz w:val="70"/>
      <w:szCs w:val="7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C95D1F"/>
    <w:rPr>
      <w:color w:val="808080"/>
    </w:rPr>
  </w:style>
  <w:style w:type="paragraph" w:customStyle="1" w:styleId="TableText">
    <w:name w:val="Table Text"/>
    <w:basedOn w:val="Normal"/>
    <w:link w:val="TableTextChar"/>
    <w:qFormat/>
    <w:rsid w:val="00C95D1F"/>
    <w:pPr>
      <w:spacing w:after="120" w:line="240" w:lineRule="auto"/>
      <w:textboxTightWrap w:val="allLines"/>
    </w:pPr>
    <w:rPr>
      <w:rFonts w:eastAsia="Times New Roman" w:cs="Times New Roman"/>
      <w:sz w:val="21"/>
      <w:szCs w:val="24"/>
      <w:lang w:eastAsia="en-GB"/>
    </w:rPr>
  </w:style>
  <w:style w:type="character" w:customStyle="1" w:styleId="TableTextChar">
    <w:name w:val="Table Text Char"/>
    <w:basedOn w:val="DefaultParagraphFont"/>
    <w:link w:val="TableText"/>
    <w:rsid w:val="00C95D1F"/>
    <w:rPr>
      <w:rFonts w:ascii="Arial" w:eastAsia="Times New Roman" w:hAnsi="Arial" w:cs="Times New Roman"/>
      <w:sz w:val="21"/>
      <w:szCs w:val="24"/>
      <w:lang w:eastAsia="en-GB"/>
    </w:rPr>
  </w:style>
  <w:style w:type="paragraph" w:customStyle="1" w:styleId="TableHeader">
    <w:name w:val="Table Header"/>
    <w:basedOn w:val="Normal"/>
    <w:qFormat/>
    <w:rsid w:val="00C95D1F"/>
    <w:pPr>
      <w:tabs>
        <w:tab w:val="right" w:pos="14580"/>
      </w:tabs>
      <w:spacing w:before="60" w:after="60" w:line="240" w:lineRule="auto"/>
      <w:ind w:right="-108"/>
      <w:textboxTightWrap w:val="allLines"/>
    </w:pPr>
    <w:rPr>
      <w:rFonts w:eastAsia="SimSun" w:cs="Arial"/>
      <w:b/>
      <w:bCs/>
      <w:sz w:val="21"/>
      <w:szCs w:val="24"/>
      <w:lang w:val="en-US" w:eastAsia="en-GB"/>
    </w:rPr>
  </w:style>
  <w:style w:type="table" w:styleId="GridTable1Light-Accent1">
    <w:name w:val="Grid Table 1 Light Accent 1"/>
    <w:basedOn w:val="TableNormal"/>
    <w:uiPriority w:val="46"/>
    <w:rsid w:val="0086554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6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655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8655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8655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23558"/>
    <w:rPr>
      <w:rFonts w:ascii="Arial" w:hAnsi="Arial" w:cs="Arial"/>
      <w:sz w:val="48"/>
      <w:szCs w:val="72"/>
    </w:rPr>
  </w:style>
  <w:style w:type="paragraph" w:styleId="ListParagraph">
    <w:name w:val="List Paragraph"/>
    <w:basedOn w:val="Normal"/>
    <w:uiPriority w:val="34"/>
    <w:qFormat/>
    <w:rsid w:val="009C13E7"/>
    <w:pPr>
      <w:spacing w:line="480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02EB"/>
    <w:rPr>
      <w:rFonts w:ascii="Arial" w:eastAsiaTheme="majorEastAsia" w:hAnsi="Arial" w:cs="Arial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642E2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42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2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2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1D63"/>
    <w:rPr>
      <w:rFonts w:ascii="Arial" w:eastAsiaTheme="majorEastAsia" w:hAnsi="Arial" w:cs="Arial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83B5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88C"/>
    <w:rPr>
      <w:rFonts w:ascii="Segoe UI" w:hAnsi="Segoe UI" w:cs="Segoe UI"/>
      <w:sz w:val="18"/>
      <w:szCs w:val="18"/>
    </w:rPr>
  </w:style>
  <w:style w:type="table" w:styleId="PlainTable4">
    <w:name w:val="Plain Table 4"/>
    <w:basedOn w:val="TableNormal"/>
    <w:uiPriority w:val="44"/>
    <w:rsid w:val="008F22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490A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0A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324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5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4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F8CCC5-4B7C-4E75-ADC6-0C8E4BE8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2398</TotalTime>
  <Pages>17</Pages>
  <Words>2367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Rylands</dc:creator>
  <cp:keywords/>
  <dc:description/>
  <cp:lastModifiedBy>Jonathan Rylands</cp:lastModifiedBy>
  <cp:revision>55</cp:revision>
  <dcterms:created xsi:type="dcterms:W3CDTF">2015-11-29T18:23:00Z</dcterms:created>
  <dcterms:modified xsi:type="dcterms:W3CDTF">2015-12-09T14:30:00Z</dcterms:modified>
  <cp:contentStatus>Dr</cp:contentStatus>
</cp:coreProperties>
</file>