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0E7C7B"/>
          <w:sz w:val="16"/>
          <w:szCs w:val="16"/>
        </w:rPr>
        <w:t xml:space="preserve">CUSTOMER ANALYTICS</w:t>
      </w:r>
    </w:p>
    <w:p>
      <w:pPr>
        <w:spacing w:after="60"/>
      </w:pPr>
      <w:r>
        <w:rPr>
          <w:rFonts w:ascii="Georgia" w:cs="Georgia" w:eastAsia="Georgia" w:hAnsi="Georgia"/>
          <w:b/>
          <w:bCs/>
          <w:color w:val="14202B"/>
          <w:sz w:val="40"/>
          <w:szCs w:val="40"/>
        </w:rPr>
        <w:t xml:space="preserve">Churn Executive Summary</w:t>
      </w:r>
    </w:p>
    <w:p>
      <w:pPr>
        <w:spacing w:after="220"/>
      </w:pPr>
      <w:r>
        <w:rPr>
          <w:rFonts w:ascii="Arial" w:cs="Arial" w:eastAsia="Arial" w:hAnsi="Arial"/>
          <w:i/>
          <w:iCs/>
          <w:color w:val="5A6B76"/>
          <w:sz w:val="21"/>
          <w:szCs w:val="21"/>
        </w:rPr>
        <w:t xml:space="preserve">Contract structure, not tenure, is the primary driver of customer churn. Below is what we found and what we recommend doing about it.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tcBorders>
              <w:top w:val="single" w:color="DBE1E2" w:sz="4"/>
              <w:left w:val="single" w:color="DBE1E2" w:sz="4"/>
              <w:bottom w:val="single" w:color="DBE1E2" w:sz="4"/>
              <w:right w:val="single" w:color="DBE1E2" w:sz="4"/>
            </w:tcBorders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5A6B76"/>
                <w:sz w:val="15"/>
                <w:szCs w:val="15"/>
              </w:rPr>
              <w:t xml:space="preserve">CUSTOMERS ANALYZED</w:t>
            </w:r>
          </w:p>
          <w:p>
            <w:r>
              <w:rPr>
                <w:rFonts w:ascii="Georgia" w:cs="Georgia" w:eastAsia="Georgia" w:hAnsi="Georgia"/>
                <w:b/>
                <w:bCs/>
                <w:color w:val="14202B"/>
                <w:sz w:val="34"/>
                <w:szCs w:val="34"/>
              </w:rPr>
              <w:t xml:space="preserve">7,043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A6B76"/>
                <w:sz w:val="15"/>
                <w:szCs w:val="15"/>
              </w:rPr>
              <w:t xml:space="preserve">full active book</w:t>
            </w:r>
          </w:p>
        </w:tc>
        <w:tc>
          <w:tcPr>
            <w:tcW w:type="pct" w:w="25%"/>
            <w:tcBorders>
              <w:top w:val="single" w:color="DBE1E2" w:sz="4"/>
              <w:left w:val="single" w:color="DBE1E2" w:sz="4"/>
              <w:bottom w:val="single" w:color="DBE1E2" w:sz="4"/>
              <w:right w:val="single" w:color="DBE1E2" w:sz="4"/>
            </w:tcBorders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5A6B76"/>
                <w:sz w:val="15"/>
                <w:szCs w:val="15"/>
              </w:rPr>
              <w:t xml:space="preserve">OVERALL CHURN RATE</w:t>
            </w:r>
          </w:p>
          <w:p>
            <w:r>
              <w:rPr>
                <w:rFonts w:ascii="Georgia" w:cs="Georgia" w:eastAsia="Georgia" w:hAnsi="Georgia"/>
                <w:b/>
                <w:bCs/>
                <w:color w:val="C0392B"/>
                <w:sz w:val="34"/>
                <w:szCs w:val="34"/>
              </w:rPr>
              <w:t xml:space="preserve">26.5%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A6B76"/>
                <w:sz w:val="15"/>
                <w:szCs w:val="15"/>
              </w:rPr>
              <w:t xml:space="preserve">1,869 customers lost</w:t>
            </w:r>
          </w:p>
        </w:tc>
        <w:tc>
          <w:tcPr>
            <w:tcW w:type="pct" w:w="25%"/>
            <w:tcBorders>
              <w:top w:val="single" w:color="DBE1E2" w:sz="4"/>
              <w:left w:val="single" w:color="DBE1E2" w:sz="4"/>
              <w:bottom w:val="single" w:color="DBE1E2" w:sz="4"/>
              <w:right w:val="single" w:color="DBE1E2" w:sz="4"/>
            </w:tcBorders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5A6B76"/>
                <w:sz w:val="15"/>
                <w:szCs w:val="15"/>
              </w:rPr>
              <w:t xml:space="preserve">HIGHEST-RISK SEGMENT</w:t>
            </w:r>
          </w:p>
          <w:p>
            <w:r>
              <w:rPr>
                <w:rFonts w:ascii="Georgia" w:cs="Georgia" w:eastAsia="Georgia" w:hAnsi="Georgia"/>
                <w:b/>
                <w:bCs/>
                <w:color w:val="C0392B"/>
                <w:sz w:val="34"/>
                <w:szCs w:val="34"/>
              </w:rPr>
              <w:t xml:space="preserve">42.7%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A6B76"/>
                <w:sz w:val="15"/>
                <w:szCs w:val="15"/>
              </w:rPr>
              <w:t xml:space="preserve">month-to-month contracts</w:t>
            </w:r>
          </w:p>
        </w:tc>
        <w:tc>
          <w:tcPr>
            <w:tcW w:type="pct" w:w="25%"/>
            <w:tcBorders>
              <w:top w:val="single" w:color="DBE1E2" w:sz="4"/>
              <w:left w:val="single" w:color="DBE1E2" w:sz="4"/>
              <w:bottom w:val="single" w:color="DBE1E2" w:sz="4"/>
              <w:right w:val="single" w:color="DBE1E2" w:sz="4"/>
            </w:tcBorders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5A6B76"/>
                <w:sz w:val="15"/>
                <w:szCs w:val="15"/>
              </w:rPr>
              <w:t xml:space="preserve">LIFETIME VALUE AT RISK</w:t>
            </w:r>
          </w:p>
          <w:p>
            <w:r>
              <w:rPr>
                <w:rFonts w:ascii="Georgia" w:cs="Georgia" w:eastAsia="Georgia" w:hAnsi="Georgia"/>
                <w:b/>
                <w:bCs/>
                <w:color w:val="C0392B"/>
                <w:sz w:val="34"/>
                <w:szCs w:val="34"/>
              </w:rPr>
              <w:t xml:space="preserve">$7.76M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A6B76"/>
                <w:sz w:val="15"/>
                <w:szCs w:val="15"/>
              </w:rPr>
              <w:t xml:space="preserve">CLTV tied to churned accounts</w:t>
            </w:r>
          </w:p>
        </w:tc>
      </w:tr>
    </w:tbl>
    <w:p>
      <w:pPr>
        <w:spacing w:after="120" w:before="260"/>
      </w:pPr>
      <w:r>
        <w:rPr>
          <w:rFonts w:ascii="Georgia" w:cs="Georgia" w:eastAsia="Georgia" w:hAnsi="Georgia"/>
          <w:b/>
          <w:bCs/>
          <w:color w:val="14202B"/>
          <w:sz w:val="25"/>
          <w:szCs w:val="25"/>
        </w:rPr>
        <w:t xml:space="preserve">Key Findings</w:t>
      </w:r>
    </w:p>
    <w:p>
      <w:pPr>
        <w:pStyle w:val="ListParagraph"/>
        <w:numPr>
          <w:ilvl w:val="0"/>
          <w:numId w:val="1"/>
        </w:numPr>
        <w:spacing w:after="90"/>
        <w:ind w:left="260"/>
      </w:pPr>
      <w:r>
        <w:rPr>
          <w:rFonts w:ascii="Arial" w:cs="Arial" w:eastAsia="Arial" w:hAnsi="Arial"/>
          <w:b/>
          <w:bCs/>
          <w:color w:val="14202B"/>
          <w:sz w:val="21"/>
          <w:szCs w:val="21"/>
        </w:rPr>
        <w:t xml:space="preserve">Contract type is the single biggest lever we have. </w:t>
      </w:r>
      <w:r>
        <w:rPr>
          <w:rFonts w:ascii="Arial" w:cs="Arial" w:eastAsia="Arial" w:hAnsi="Arial"/>
          <w:color w:val="14202B"/>
          <w:sz w:val="21"/>
          <w:szCs w:val="21"/>
        </w:rPr>
        <w:t xml:space="preserve">Month-to-month customers churn at 42.7%, versus 11.3% for one-year and 2.8% for two-year contracts — and this gap persists even among long-tenured customers, ruling out “they just joined” as the explanation.</w:t>
      </w:r>
    </w:p>
    <w:p>
      <w:pPr>
        <w:pStyle w:val="ListParagraph"/>
        <w:numPr>
          <w:ilvl w:val="0"/>
          <w:numId w:val="1"/>
        </w:numPr>
        <w:spacing w:after="90"/>
        <w:ind w:left="260"/>
      </w:pPr>
      <w:r>
        <w:rPr>
          <w:rFonts w:ascii="Arial" w:cs="Arial" w:eastAsia="Arial" w:hAnsi="Arial"/>
          <w:b/>
          <w:bCs/>
          <w:color w:val="14202B"/>
          <w:sz w:val="21"/>
          <w:szCs w:val="21"/>
        </w:rPr>
        <w:t xml:space="preserve">Tenure alone is misleading. </w:t>
      </w:r>
      <w:r>
        <w:rPr>
          <w:rFonts w:ascii="Arial" w:cs="Arial" w:eastAsia="Arial" w:hAnsi="Arial"/>
          <w:color w:val="14202B"/>
          <w:sz w:val="21"/>
          <w:szCs w:val="21"/>
        </w:rPr>
        <w:t xml:space="preserve">New customers churn more, but that’s because they’re disproportionately on month-to-month plans. A 3+ year customer on a month-to-month contract still churns at 31%—far above any term-contract segment at any tenure.</w:t>
      </w:r>
    </w:p>
    <w:p>
      <w:pPr>
        <w:pStyle w:val="ListParagraph"/>
        <w:numPr>
          <w:ilvl w:val="0"/>
          <w:numId w:val="1"/>
        </w:numPr>
        <w:spacing w:after="90"/>
        <w:ind w:left="260"/>
      </w:pPr>
      <w:r>
        <w:rPr>
          <w:rFonts w:ascii="Arial" w:cs="Arial" w:eastAsia="Arial" w:hAnsi="Arial"/>
          <w:b/>
          <w:bCs/>
          <w:color w:val="14202B"/>
          <w:sz w:val="21"/>
          <w:szCs w:val="21"/>
        </w:rPr>
        <w:t xml:space="preserve">Fiber customers churn more than DSL customers </w:t>
      </w:r>
      <w:r>
        <w:rPr>
          <w:rFonts w:ascii="Arial" w:cs="Arial" w:eastAsia="Arial" w:hAnsi="Arial"/>
          <w:color w:val="14202B"/>
          <w:sz w:val="21"/>
          <w:szCs w:val="21"/>
        </w:rPr>
        <w:t xml:space="preserve">(41.9% vs 19.0%), despite fiber being the premium product — worth investigating alongside pricing and service quality.</w:t>
      </w:r>
    </w:p>
    <w:p>
      <w:pPr>
        <w:pStyle w:val="ListParagraph"/>
        <w:numPr>
          <w:ilvl w:val="0"/>
          <w:numId w:val="1"/>
        </w:numPr>
        <w:spacing w:after="90"/>
        <w:ind w:left="260"/>
      </w:pPr>
      <w:r>
        <w:rPr>
          <w:rFonts w:ascii="Arial" w:cs="Arial" w:eastAsia="Arial" w:hAnsi="Arial"/>
          <w:b/>
          <w:bCs/>
          <w:color w:val="14202B"/>
          <w:sz w:val="21"/>
          <w:szCs w:val="21"/>
        </w:rPr>
        <w:t xml:space="preserve">Manual payment is a warning sign. </w:t>
      </w:r>
      <w:r>
        <w:rPr>
          <w:rFonts w:ascii="Arial" w:cs="Arial" w:eastAsia="Arial" w:hAnsi="Arial"/>
          <w:color w:val="14202B"/>
          <w:sz w:val="21"/>
          <w:szCs w:val="21"/>
        </w:rPr>
        <w:t xml:space="preserve">Electronic check payers churn at 45.3%, roughly 3x the rate of any autopay method — a low-effort, high-signal flag for outreach.</w:t>
      </w:r>
    </w:p>
    <w:p>
      <w:pPr>
        <w:pStyle w:val="ListParagraph"/>
        <w:numPr>
          <w:ilvl w:val="0"/>
          <w:numId w:val="1"/>
        </w:numPr>
        <w:spacing w:after="90"/>
        <w:ind w:left="260"/>
      </w:pPr>
      <w:r>
        <w:rPr>
          <w:rFonts w:ascii="Arial" w:cs="Arial" w:eastAsia="Arial" w:hAnsi="Arial"/>
          <w:b/>
          <w:bCs/>
          <w:color w:val="14202B"/>
          <w:sz w:val="21"/>
          <w:szCs w:val="21"/>
        </w:rPr>
        <w:t xml:space="preserve">Household stability correlates with loyalty. </w:t>
      </w:r>
      <w:r>
        <w:rPr>
          <w:rFonts w:ascii="Arial" w:cs="Arial" w:eastAsia="Arial" w:hAnsi="Arial"/>
          <w:color w:val="14202B"/>
          <w:sz w:val="21"/>
          <w:szCs w:val="21"/>
        </w:rPr>
        <w:t xml:space="preserve">Customers with both a partner and dependents churn at under 4%; single senior citizens churn near 49%, the highest of any segment.</w:t>
      </w:r>
    </w:p>
    <w:p>
      <w:pPr>
        <w:pStyle w:val="ListParagraph"/>
        <w:numPr>
          <w:ilvl w:val="0"/>
          <w:numId w:val="1"/>
        </w:numPr>
        <w:spacing w:after="90"/>
        <w:ind w:left="260"/>
      </w:pPr>
      <w:r>
        <w:rPr>
          <w:rFonts w:ascii="Arial" w:cs="Arial" w:eastAsia="Arial" w:hAnsi="Arial"/>
          <w:b/>
          <w:bCs/>
          <w:color w:val="14202B"/>
          <w:sz w:val="21"/>
          <w:szCs w:val="21"/>
        </w:rPr>
        <w:t xml:space="preserve">Customers cite competitors and service experience over price. </w:t>
      </w:r>
      <w:r>
        <w:rPr>
          <w:rFonts w:ascii="Arial" w:cs="Arial" w:eastAsia="Arial" w:hAnsi="Arial"/>
          <w:color w:val="14202B"/>
          <w:sz w:val="21"/>
          <w:szCs w:val="21"/>
        </w:rPr>
        <w:t xml:space="preserve">Competitive offers and support/service attitude together account for roughly half of stated reasons for leaving; price alone accounts for about 5%.</w:t>
      </w:r>
    </w:p>
    <w:p>
      <w:pPr>
        <w:spacing w:after="120" w:before="200"/>
      </w:pPr>
      <w:r>
        <w:rPr>
          <w:rFonts w:ascii="Georgia" w:cs="Georgia" w:eastAsia="Georgia" w:hAnsi="Georgia"/>
          <w:b/>
          <w:bCs/>
          <w:color w:val="14202B"/>
          <w:sz w:val="25"/>
          <w:szCs w:val="25"/>
        </w:rPr>
        <w:t xml:space="preserve">Recommended Actions</w:t>
      </w:r>
    </w:p>
    <w:p>
      <w:pPr>
        <w:pStyle w:val="ListParagraph"/>
        <w:numPr>
          <w:ilvl w:val="0"/>
          <w:numId w:val="1"/>
        </w:numPr>
        <w:spacing w:after="90"/>
        <w:ind w:left="260"/>
      </w:pPr>
      <w:r>
        <w:rPr>
          <w:rFonts w:ascii="Arial" w:cs="Arial" w:eastAsia="Arial" w:hAnsi="Arial"/>
          <w:b/>
          <w:bCs/>
          <w:color w:val="14202B"/>
          <w:sz w:val="21"/>
          <w:szCs w:val="21"/>
        </w:rPr>
        <w:t xml:space="preserve">Incentivize contract upgrades. </w:t>
      </w:r>
      <w:r>
        <w:rPr>
          <w:rFonts w:ascii="Arial" w:cs="Arial" w:eastAsia="Arial" w:hAnsi="Arial"/>
          <w:color w:val="14202B"/>
          <w:sz w:val="21"/>
          <w:szCs w:val="21"/>
        </w:rPr>
        <w:t xml:space="preserve">Target month-to-month customers — especially those past their first year — with offers to move to one- or two-year terms; this is the single highest-leverage retention move available.</w:t>
      </w:r>
    </w:p>
    <w:p>
      <w:pPr>
        <w:pStyle w:val="ListParagraph"/>
        <w:numPr>
          <w:ilvl w:val="0"/>
          <w:numId w:val="1"/>
        </w:numPr>
        <w:spacing w:after="90"/>
        <w:ind w:left="260"/>
      </w:pPr>
      <w:r>
        <w:rPr>
          <w:rFonts w:ascii="Arial" w:cs="Arial" w:eastAsia="Arial" w:hAnsi="Arial"/>
          <w:b/>
          <w:bCs/>
          <w:color w:val="14202B"/>
          <w:sz w:val="21"/>
          <w:szCs w:val="21"/>
        </w:rPr>
        <w:t xml:space="preserve">Build a manual-payment intervention. </w:t>
      </w:r>
      <w:r>
        <w:rPr>
          <w:rFonts w:ascii="Arial" w:cs="Arial" w:eastAsia="Arial" w:hAnsi="Arial"/>
          <w:color w:val="14202B"/>
          <w:sz w:val="21"/>
          <w:szCs w:val="21"/>
        </w:rPr>
        <w:t xml:space="preserve">Prioritize electronic check payers for proactive outreach or autopay incentives before they churn.</w:t>
      </w:r>
    </w:p>
    <w:p>
      <w:pPr>
        <w:pStyle w:val="ListParagraph"/>
        <w:numPr>
          <w:ilvl w:val="0"/>
          <w:numId w:val="1"/>
        </w:numPr>
        <w:spacing w:after="90"/>
        <w:ind w:left="260"/>
      </w:pPr>
      <w:r>
        <w:rPr>
          <w:rFonts w:ascii="Arial" w:cs="Arial" w:eastAsia="Arial" w:hAnsi="Arial"/>
          <w:b/>
          <w:bCs/>
          <w:color w:val="14202B"/>
          <w:sz w:val="21"/>
          <w:szCs w:val="21"/>
        </w:rPr>
        <w:t xml:space="preserve">Investigate fiber service quality and pricing </w:t>
      </w:r>
      <w:r>
        <w:rPr>
          <w:rFonts w:ascii="Arial" w:cs="Arial" w:eastAsia="Arial" w:hAnsi="Arial"/>
          <w:color w:val="14202B"/>
          <w:sz w:val="21"/>
          <w:szCs w:val="21"/>
        </w:rPr>
        <w:t xml:space="preserve">to close the gap with DSL’s much lower churn rate.</w:t>
      </w:r>
    </w:p>
    <w:p>
      <w:pPr>
        <w:pStyle w:val="ListParagraph"/>
        <w:numPr>
          <w:ilvl w:val="0"/>
          <w:numId w:val="1"/>
        </w:numPr>
        <w:spacing w:after="90"/>
        <w:ind w:left="260"/>
      </w:pPr>
      <w:r>
        <w:rPr>
          <w:rFonts w:ascii="Arial" w:cs="Arial" w:eastAsia="Arial" w:hAnsi="Arial"/>
          <w:b/>
          <w:bCs/>
          <w:color w:val="14202B"/>
          <w:sz w:val="21"/>
          <w:szCs w:val="21"/>
        </w:rPr>
        <w:t xml:space="preserve">Prioritize retention spend </w:t>
      </w:r>
      <w:r>
        <w:rPr>
          <w:rFonts w:ascii="Arial" w:cs="Arial" w:eastAsia="Arial" w:hAnsi="Arial"/>
          <w:color w:val="14202B"/>
          <w:sz w:val="21"/>
          <w:szCs w:val="21"/>
        </w:rPr>
        <w:t xml:space="preserve">on single senior citizens and other low-stability households, where risk is highest and least addressed by price alone.</w:t>
      </w:r>
    </w:p>
    <w:p>
      <w:pPr>
        <w:pBdr>
          <w:top w:val="single" w:color="DBE1E2" w:sz="4" w:space="8"/>
        </w:pBdr>
        <w:spacing w:before="260"/>
      </w:pPr>
      <w:r>
        <w:rPr>
          <w:rFonts w:ascii="Arial" w:cs="Arial" w:eastAsia="Arial" w:hAnsi="Arial"/>
          <w:color w:val="5A6B76"/>
          <w:sz w:val="16"/>
          <w:szCs w:val="16"/>
        </w:rPr>
        <w:t xml:space="preserve">Source: 7,043-row customer churn dataset, cleaned and analyzed via SQL. Full query set and interactive dashboard available on request.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2026-07-01T18:23:41.993Z</dcterms:created>
  <dcterms:modified xsi:type="dcterms:W3CDTF">2026-07-01T18:23:41.993Z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