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94A56" w14:textId="77777777" w:rsidR="000840E5" w:rsidRPr="000840E5" w:rsidRDefault="000840E5" w:rsidP="000840E5">
      <w:pPr>
        <w:spacing w:after="240" w:line="276" w:lineRule="auto"/>
        <w:jc w:val="center"/>
        <w:rPr>
          <w:rFonts w:ascii="Cambria" w:eastAsia="MS Mincho" w:hAnsi="Cambria" w:cs="Times New Roman"/>
          <w:kern w:val="0"/>
          <w:lang w:val="en-US"/>
          <w14:ligatures w14:val="none"/>
        </w:rPr>
      </w:pPr>
      <w:r w:rsidRPr="000840E5">
        <w:rPr>
          <w:rFonts w:ascii="Times New Roman" w:eastAsia="Times New Roman" w:hAnsi="Times New Roman" w:cs="Times New Roman"/>
          <w:b/>
          <w:kern w:val="0"/>
          <w:sz w:val="28"/>
          <w:lang w:val="en-US"/>
          <w14:ligatures w14:val="none"/>
        </w:rPr>
        <w:t>How Much Do Markets Respond to Noise? Evidence from Oil</w:t>
      </w:r>
      <w:r w:rsidRPr="000840E5">
        <w:rPr>
          <w:rFonts w:ascii="Times New Roman" w:eastAsia="Times New Roman" w:hAnsi="Times New Roman" w:cs="Times New Roman"/>
          <w:b/>
          <w:kern w:val="0"/>
          <w:sz w:val="28"/>
          <w:lang w:val="en-US"/>
          <w14:ligatures w14:val="none"/>
        </w:rPr>
        <w:br/>
        <w:t>Exposure Around the Venezuela Shock (January 2026)</w:t>
      </w:r>
    </w:p>
    <w:p w14:paraId="0EA5B1F7" w14:textId="77777777" w:rsidR="000840E5" w:rsidRPr="000840E5" w:rsidRDefault="000840E5" w:rsidP="000840E5">
      <w:pPr>
        <w:spacing w:after="360" w:line="276" w:lineRule="auto"/>
        <w:jc w:val="center"/>
        <w:rPr>
          <w:rFonts w:ascii="Cambria" w:eastAsia="MS Mincho" w:hAnsi="Cambria" w:cs="Times New Roman"/>
          <w:kern w:val="0"/>
          <w:sz w:val="24"/>
          <w:szCs w:val="24"/>
          <w:lang w:val="en-US"/>
          <w14:ligatures w14:val="none"/>
        </w:rPr>
      </w:pPr>
      <w:r w:rsidRPr="000840E5">
        <w:rPr>
          <w:rFonts w:ascii="Times New Roman" w:eastAsia="Times New Roman" w:hAnsi="Times New Roman" w:cs="Times New Roman"/>
          <w:i/>
          <w:kern w:val="0"/>
          <w:sz w:val="24"/>
          <w:szCs w:val="24"/>
          <w:lang w:val="en-US"/>
          <w14:ligatures w14:val="none"/>
        </w:rPr>
        <w:t>An event-window analysis using the United States Oil Fund (USO)</w:t>
      </w:r>
    </w:p>
    <w:p w14:paraId="05A919CA" w14:textId="77777777" w:rsidR="000840E5" w:rsidRPr="000840E5" w:rsidRDefault="000840E5" w:rsidP="000840E5">
      <w:pPr>
        <w:spacing w:after="480" w:line="276" w:lineRule="auto"/>
        <w:jc w:val="center"/>
        <w:rPr>
          <w:rFonts w:ascii="Cambria" w:eastAsia="MS Mincho" w:hAnsi="Cambria" w:cs="Times New Roman"/>
          <w:kern w:val="0"/>
          <w:sz w:val="24"/>
          <w:szCs w:val="24"/>
          <w:lang w:val="en-US"/>
          <w14:ligatures w14:val="none"/>
        </w:rPr>
      </w:pPr>
      <w:r w:rsidRPr="000840E5">
        <w:rPr>
          <w:rFonts w:ascii="Times New Roman" w:eastAsia="Times New Roman" w:hAnsi="Times New Roman" w:cs="Times New Roman"/>
          <w:kern w:val="0"/>
          <w:sz w:val="24"/>
          <w:szCs w:val="24"/>
          <w:lang w:val="en-US"/>
          <w14:ligatures w14:val="none"/>
        </w:rPr>
        <w:t>January 2026</w:t>
      </w:r>
    </w:p>
    <w:p w14:paraId="434F11AE" w14:textId="77777777" w:rsidR="000840E5" w:rsidRPr="000840E5" w:rsidRDefault="000840E5" w:rsidP="000840E5">
      <w:pPr>
        <w:spacing w:after="200" w:line="276" w:lineRule="auto"/>
        <w:jc w:val="center"/>
        <w:rPr>
          <w:rFonts w:ascii="Cambria" w:eastAsia="MS Mincho" w:hAnsi="Cambria" w:cs="Times New Roman"/>
          <w:kern w:val="0"/>
          <w:sz w:val="24"/>
          <w:szCs w:val="24"/>
          <w:lang w:val="en-US"/>
          <w14:ligatures w14:val="none"/>
        </w:rPr>
      </w:pPr>
      <w:r w:rsidRPr="000840E5">
        <w:rPr>
          <w:rFonts w:ascii="Times New Roman" w:eastAsia="Times New Roman" w:hAnsi="Times New Roman" w:cs="Times New Roman"/>
          <w:kern w:val="0"/>
          <w:sz w:val="24"/>
          <w:szCs w:val="24"/>
          <w:lang w:val="en-US"/>
          <w14:ligatures w14:val="none"/>
        </w:rPr>
        <w:t>Matthew Tembo (Economist and Data Scientist)</w:t>
      </w:r>
    </w:p>
    <w:p w14:paraId="70F1C5D3" w14:textId="77777777" w:rsidR="005F1D18" w:rsidRPr="005F1D18" w:rsidRDefault="005F1D18" w:rsidP="005F1D18">
      <w:pPr>
        <w:spacing w:after="120" w:line="276" w:lineRule="auto"/>
        <w:jc w:val="center"/>
        <w:rPr>
          <w:rFonts w:ascii="Times New Roman" w:eastAsia="Times New Roman" w:hAnsi="Times New Roman"/>
          <w:b/>
          <w:kern w:val="0"/>
          <w:sz w:val="32"/>
          <w:lang w:val="en-US"/>
          <w14:ligatures w14:val="none"/>
        </w:rPr>
      </w:pPr>
    </w:p>
    <w:p w14:paraId="44BFD2BE" w14:textId="7B8A0B3E" w:rsidR="00F65CD6" w:rsidRPr="000840E5" w:rsidRDefault="00696709" w:rsidP="000840E5">
      <w:pPr>
        <w:pStyle w:val="Heading1"/>
        <w:rPr>
          <w:b/>
          <w:bCs/>
          <w:color w:val="000000" w:themeColor="text1"/>
          <w:sz w:val="28"/>
          <w:szCs w:val="28"/>
          <w:lang w:val="en-GB"/>
        </w:rPr>
      </w:pPr>
      <w:r w:rsidRPr="000840E5">
        <w:rPr>
          <w:b/>
          <w:bCs/>
          <w:color w:val="000000" w:themeColor="text1"/>
          <w:sz w:val="28"/>
          <w:szCs w:val="28"/>
          <w:lang w:val="en-GB"/>
        </w:rPr>
        <w:t xml:space="preserve">Abstract </w:t>
      </w:r>
    </w:p>
    <w:p w14:paraId="07363168" w14:textId="297DAE34" w:rsidR="00C536B7" w:rsidRDefault="00696709" w:rsidP="00696709">
      <w:pPr>
        <w:spacing w:line="360" w:lineRule="auto"/>
        <w:jc w:val="both"/>
        <w:rPr>
          <w:rFonts w:ascii="Times New Roman" w:hAnsi="Times New Roman" w:cs="Times New Roman"/>
          <w:sz w:val="24"/>
          <w:szCs w:val="24"/>
        </w:rPr>
      </w:pPr>
      <w:r w:rsidRPr="00696709">
        <w:rPr>
          <w:rFonts w:ascii="Times New Roman" w:hAnsi="Times New Roman" w:cs="Times New Roman"/>
          <w:sz w:val="24"/>
          <w:szCs w:val="24"/>
        </w:rPr>
        <w:t>This event study evaluates whether a salient geopolitical announcement is associated with a statistically unusual price discontinuity or with a response characterised mainly by transitory price movements and elevated uncertainty. Using daily data for the United States Oil Fund (USO) around the January 2026 Venezuela-related event, in which U.S. forces reportedly captured President Nicolás Maduro and subsequent reporting discussed potential changes in Venezuelan oil flows to the United States</w:t>
      </w:r>
      <w:r w:rsidR="000840E5" w:rsidRPr="00696709">
        <w:rPr>
          <w:rFonts w:ascii="Times New Roman" w:hAnsi="Times New Roman" w:cs="Times New Roman"/>
          <w:sz w:val="24"/>
          <w:szCs w:val="24"/>
        </w:rPr>
        <w:t>,</w:t>
      </w:r>
      <w:r w:rsidR="000840E5">
        <w:rPr>
          <w:rFonts w:ascii="Times New Roman" w:hAnsi="Times New Roman" w:cs="Times New Roman"/>
          <w:sz w:val="24"/>
          <w:szCs w:val="24"/>
        </w:rPr>
        <w:t xml:space="preserve"> </w:t>
      </w:r>
      <w:r w:rsidR="000840E5" w:rsidRPr="000840E5">
        <w:rPr>
          <w:rFonts w:ascii="Times New Roman" w:hAnsi="Times New Roman" w:cs="Times New Roman"/>
          <w:sz w:val="24"/>
          <w:szCs w:val="24"/>
        </w:rPr>
        <w:t>the analysis evaluates price dynamics in an event window, applies a jump diagnostic based on pre-event return variability, and tracks changes in rolling volatility. Across the window, the reaction-day return remains within the pre-event jump band, while prices exhibit rapid reversal and recovery. Rolling volatility stays elevated after the event, indicating that the market response is expressed more through uncertainty than through an immediate and persistent repricing of near-term supply expectations</w:t>
      </w:r>
      <w:r w:rsidRPr="00696709">
        <w:rPr>
          <w:rFonts w:ascii="Times New Roman" w:hAnsi="Times New Roman" w:cs="Times New Roman"/>
          <w:sz w:val="24"/>
          <w:szCs w:val="24"/>
        </w:rPr>
        <w:t>.</w:t>
      </w:r>
    </w:p>
    <w:p w14:paraId="4DBB1AD8" w14:textId="2EA30672" w:rsidR="000840E5" w:rsidRDefault="00C536B7" w:rsidP="00C536B7">
      <w:pPr>
        <w:rPr>
          <w:rFonts w:ascii="Times New Roman" w:hAnsi="Times New Roman" w:cs="Times New Roman"/>
          <w:sz w:val="24"/>
          <w:szCs w:val="24"/>
        </w:rPr>
      </w:pPr>
      <w:r>
        <w:rPr>
          <w:rFonts w:ascii="Times New Roman" w:hAnsi="Times New Roman" w:cs="Times New Roman"/>
          <w:sz w:val="24"/>
          <w:szCs w:val="24"/>
        </w:rPr>
        <w:br w:type="page"/>
      </w:r>
    </w:p>
    <w:p w14:paraId="7A7F7FDE" w14:textId="71E9B7E7" w:rsidR="00696709" w:rsidRPr="000840E5" w:rsidRDefault="00696709" w:rsidP="000840E5">
      <w:pPr>
        <w:pStyle w:val="Heading1"/>
        <w:numPr>
          <w:ilvl w:val="0"/>
          <w:numId w:val="2"/>
        </w:numPr>
        <w:rPr>
          <w:b/>
          <w:bCs/>
          <w:color w:val="000000" w:themeColor="text1"/>
          <w:sz w:val="28"/>
          <w:szCs w:val="28"/>
          <w:lang w:val="en-GB"/>
        </w:rPr>
      </w:pPr>
      <w:r w:rsidRPr="000840E5">
        <w:rPr>
          <w:b/>
          <w:bCs/>
          <w:color w:val="000000" w:themeColor="text1"/>
          <w:sz w:val="28"/>
          <w:szCs w:val="28"/>
          <w:lang w:val="en-GB"/>
        </w:rPr>
        <w:lastRenderedPageBreak/>
        <w:t>Background and Rationale</w:t>
      </w:r>
    </w:p>
    <w:p w14:paraId="08596FB9" w14:textId="77777777" w:rsidR="00696709" w:rsidRPr="00696709" w:rsidRDefault="00696709" w:rsidP="001A2B31">
      <w:pPr>
        <w:autoSpaceDE w:val="0"/>
        <w:autoSpaceDN w:val="0"/>
        <w:adjustRightInd w:val="0"/>
        <w:spacing w:before="120" w:after="120" w:line="360" w:lineRule="auto"/>
        <w:jc w:val="both"/>
        <w:rPr>
          <w:rFonts w:ascii="Times New Roman" w:eastAsia="Calibri" w:hAnsi="Times New Roman" w:cs="Times New Roman"/>
          <w:iCs/>
          <w:kern w:val="32"/>
          <w:sz w:val="24"/>
          <w:szCs w:val="24"/>
          <w:lang w:val="en-US" w:eastAsia="en-GB"/>
          <w14:ligatures w14:val="none"/>
        </w:rPr>
      </w:pPr>
      <w:r w:rsidRPr="00696709">
        <w:rPr>
          <w:rFonts w:ascii="Times New Roman" w:eastAsia="Calibri" w:hAnsi="Times New Roman" w:cs="Times New Roman"/>
          <w:iCs/>
          <w:kern w:val="32"/>
          <w:sz w:val="24"/>
          <w:szCs w:val="24"/>
          <w:lang w:val="en-US" w:eastAsia="en-GB"/>
          <w14:ligatures w14:val="none"/>
        </w:rPr>
        <w:t>In early January 2026, international attention focused on Venezuela following reports that a United States operation resulted in the capture of President Nicolás Maduro. The development was quickly interpreted through an oil-market lens because Venezuela’s export capacity and the prevailing sanctions environment are closely linked to expectations about global crude supply, trade flows to specific refinery configurations, and the geopolitical risk premium embedded in prices. As reporting evolved, discussion also extended to United States leverage over Venezuelan oil revenues and the possibility of changes in Venezuelan crude flows toward United States buyers. These developments heightened uncertainty regarding the extent to which the episode would translate into near-term supply effects as opposed to reflecting predominantly informational salience within the news cycle.</w:t>
      </w:r>
    </w:p>
    <w:p w14:paraId="6A1FBA49" w14:textId="77777777" w:rsidR="00696709" w:rsidRPr="00696709" w:rsidRDefault="00696709" w:rsidP="00696709">
      <w:pPr>
        <w:spacing w:line="360" w:lineRule="auto"/>
        <w:jc w:val="both"/>
        <w:rPr>
          <w:rFonts w:ascii="Times New Roman" w:hAnsi="Times New Roman" w:cs="Times New Roman"/>
          <w:sz w:val="24"/>
          <w:szCs w:val="24"/>
        </w:rPr>
      </w:pPr>
      <w:r w:rsidRPr="00696709">
        <w:rPr>
          <w:rFonts w:ascii="Times New Roman" w:eastAsia="Calibri" w:hAnsi="Times New Roman" w:cs="Times New Roman"/>
          <w:iCs/>
          <w:kern w:val="32"/>
          <w:sz w:val="24"/>
          <w:szCs w:val="24"/>
          <w:lang w:val="en-US" w:eastAsia="en-GB"/>
          <w14:ligatures w14:val="none"/>
        </w:rPr>
        <w:t>Such settings present two empirically distinguishable channels of market adjustment. First, prices may incorporate new information through a sharp and persistent revaluation when market participants infer an immediate and durable shock to physical supply conditions. Second, prices may display a response dominated by heightened uncertainty and short-horizon rebalancing, producing transitory fluctuations and increased variability when the mapping from political developments to realised production, exports, and shipping outcomes is unclear. Contemporary reporting during 5 to 7 January 2026 characterised oil pricing as responsive but not disorderly, with subsequent sessions emphasising broader supply conditions and uncertainty about the speed with which political changes could be reflected in production and export volumes</w:t>
      </w:r>
      <w:r w:rsidRPr="00696709">
        <w:rPr>
          <w:rFonts w:ascii="Times New Roman" w:hAnsi="Times New Roman" w:cs="Times New Roman"/>
          <w:sz w:val="24"/>
          <w:szCs w:val="24"/>
        </w:rPr>
        <w:t>.</w:t>
      </w:r>
    </w:p>
    <w:p w14:paraId="5E3A778E" w14:textId="77777777" w:rsidR="00696709" w:rsidRPr="001A2B31" w:rsidRDefault="00696709" w:rsidP="00696709">
      <w:pPr>
        <w:spacing w:line="360" w:lineRule="auto"/>
        <w:jc w:val="both"/>
        <w:rPr>
          <w:rFonts w:ascii="Times New Roman" w:eastAsia="Calibri" w:hAnsi="Times New Roman" w:cs="Times New Roman"/>
          <w:iCs/>
          <w:kern w:val="32"/>
          <w:sz w:val="24"/>
          <w:szCs w:val="24"/>
          <w:lang w:val="en-US" w:eastAsia="en-GB"/>
          <w14:ligatures w14:val="none"/>
        </w:rPr>
      </w:pPr>
      <w:r w:rsidRPr="00696709">
        <w:rPr>
          <w:rFonts w:ascii="Times New Roman" w:eastAsia="Calibri" w:hAnsi="Times New Roman" w:cs="Times New Roman"/>
          <w:iCs/>
          <w:kern w:val="32"/>
          <w:sz w:val="24"/>
          <w:szCs w:val="24"/>
          <w:lang w:val="en-US" w:eastAsia="en-GB"/>
          <w14:ligatures w14:val="none"/>
        </w:rPr>
        <w:t>To examine whether the observed behaviour is more consistent with a statistically unusual price discontinuity or with a primarily uncertainty-driven response, this study uses daily market data for the United States Oil Fund (USO) as a liquid proxy for tradable oil exposure. USO is constructed to track daily movements in light, sweet crude oil primarily through futures-based positioning. This feature makes USO suitable for measuring the response of exchange-traded oil exposure to geopolitical headlines, while acknowledging that futures roll mechanics and term-structure conditions may influence realised ETF returns.</w:t>
      </w:r>
    </w:p>
    <w:p w14:paraId="02B85DF0" w14:textId="2ED5685B" w:rsidR="00696709" w:rsidRPr="000840E5" w:rsidRDefault="00696709" w:rsidP="000840E5">
      <w:pPr>
        <w:pStyle w:val="Heading1"/>
        <w:numPr>
          <w:ilvl w:val="0"/>
          <w:numId w:val="2"/>
        </w:numPr>
        <w:rPr>
          <w:b/>
          <w:bCs/>
          <w:color w:val="000000" w:themeColor="text1"/>
          <w:sz w:val="28"/>
          <w:szCs w:val="28"/>
          <w:lang w:val="en-GB"/>
        </w:rPr>
      </w:pPr>
      <w:r w:rsidRPr="000840E5">
        <w:rPr>
          <w:b/>
          <w:bCs/>
          <w:color w:val="000000" w:themeColor="text1"/>
          <w:sz w:val="28"/>
          <w:szCs w:val="28"/>
          <w:lang w:val="en-GB"/>
        </w:rPr>
        <w:lastRenderedPageBreak/>
        <w:t>Scope of Study and Methodology</w:t>
      </w:r>
    </w:p>
    <w:p w14:paraId="75F8759C" w14:textId="18A11EE7" w:rsidR="00696709" w:rsidRPr="000840E5" w:rsidRDefault="00696709" w:rsidP="000840E5">
      <w:pPr>
        <w:pStyle w:val="Heading2"/>
        <w:numPr>
          <w:ilvl w:val="1"/>
          <w:numId w:val="2"/>
        </w:numPr>
        <w:rPr>
          <w:b/>
          <w:bCs/>
          <w:color w:val="000000" w:themeColor="text1"/>
          <w:sz w:val="24"/>
          <w:szCs w:val="24"/>
        </w:rPr>
      </w:pPr>
      <w:r w:rsidRPr="000840E5">
        <w:rPr>
          <w:b/>
          <w:bCs/>
          <w:color w:val="000000" w:themeColor="text1"/>
          <w:sz w:val="24"/>
          <w:szCs w:val="24"/>
        </w:rPr>
        <w:t>Asset selection and data</w:t>
      </w:r>
    </w:p>
    <w:p w14:paraId="57C4CF12" w14:textId="075492FB" w:rsidR="00696709" w:rsidRPr="00696709" w:rsidRDefault="00696709" w:rsidP="001A2B31">
      <w:pPr>
        <w:autoSpaceDE w:val="0"/>
        <w:autoSpaceDN w:val="0"/>
        <w:adjustRightInd w:val="0"/>
        <w:spacing w:before="120" w:after="120" w:line="360" w:lineRule="auto"/>
        <w:jc w:val="both"/>
        <w:rPr>
          <w:rFonts w:ascii="Times New Roman" w:eastAsia="Calibri" w:hAnsi="Times New Roman" w:cs="Times New Roman"/>
          <w:iCs/>
          <w:kern w:val="32"/>
          <w:sz w:val="24"/>
          <w:szCs w:val="24"/>
          <w:lang w:val="en-US" w:eastAsia="en-GB"/>
          <w14:ligatures w14:val="none"/>
        </w:rPr>
      </w:pPr>
      <w:r w:rsidRPr="00696709">
        <w:rPr>
          <w:rFonts w:ascii="Times New Roman" w:eastAsia="Calibri" w:hAnsi="Times New Roman" w:cs="Times New Roman"/>
          <w:iCs/>
          <w:kern w:val="32"/>
          <w:sz w:val="24"/>
          <w:szCs w:val="24"/>
          <w:lang w:val="en-US" w:eastAsia="en-GB"/>
          <w14:ligatures w14:val="none"/>
        </w:rPr>
        <w:t>The analysis focuses on the United States Oil Fund (USO), a liquid and widely traded oil-linked exchange-traded product intended to reflect daily movements in light, sweet crude oil through futures-based exposures.</w:t>
      </w:r>
    </w:p>
    <w:p w14:paraId="3448B796" w14:textId="7A6D3B8D" w:rsidR="00696709" w:rsidRDefault="00696709" w:rsidP="000840E5">
      <w:pPr>
        <w:spacing w:after="0" w:line="360" w:lineRule="auto"/>
        <w:jc w:val="both"/>
        <w:rPr>
          <w:rFonts w:ascii="Times New Roman" w:hAnsi="Times New Roman" w:cs="Times New Roman"/>
          <w:sz w:val="24"/>
          <w:szCs w:val="24"/>
        </w:rPr>
      </w:pPr>
      <w:r w:rsidRPr="00696709">
        <w:rPr>
          <w:rFonts w:ascii="Times New Roman" w:eastAsia="Calibri" w:hAnsi="Times New Roman" w:cs="Times New Roman"/>
          <w:iCs/>
          <w:kern w:val="32"/>
          <w:sz w:val="24"/>
          <w:szCs w:val="24"/>
          <w:lang w:val="en-US" w:eastAsia="en-GB"/>
          <w14:ligatures w14:val="none"/>
        </w:rPr>
        <w:t>The empirical analysis uses daily closing prices, which are transformed into daily log returns for estimation and inference</w:t>
      </w:r>
      <w:r w:rsidRPr="00696709">
        <w:rPr>
          <w:rFonts w:ascii="Times New Roman" w:hAnsi="Times New Roman" w:cs="Times New Roman"/>
          <w:sz w:val="24"/>
          <w:szCs w:val="24"/>
        </w:rPr>
        <w:t>.</w:t>
      </w:r>
    </w:p>
    <w:p w14:paraId="64B7CB5C" w14:textId="132C1428" w:rsidR="00696709" w:rsidRDefault="00696709" w:rsidP="000840E5">
      <w:pPr>
        <w:spacing w:after="0" w:line="360" w:lineRule="auto"/>
        <w:jc w:val="both"/>
        <w:rPr>
          <w:rFonts w:ascii="Times New Roman" w:eastAsia="Calibri" w:hAnsi="Times New Roman" w:cs="Times New Roman"/>
          <w:iCs/>
          <w:kern w:val="32"/>
          <w:sz w:val="24"/>
          <w:szCs w:val="24"/>
          <w:lang w:val="en-US" w:eastAsia="en-GB"/>
          <w14:ligatures w14:val="none"/>
        </w:rPr>
      </w:pPr>
      <w:r w:rsidRPr="00696709">
        <w:rPr>
          <w:rFonts w:ascii="Times New Roman" w:eastAsia="Calibri" w:hAnsi="Times New Roman" w:cs="Times New Roman"/>
          <w:iCs/>
          <w:kern w:val="32"/>
          <w:sz w:val="24"/>
          <w:szCs w:val="24"/>
          <w:lang w:val="en-US" w:eastAsia="en-GB"/>
          <w14:ligatures w14:val="none"/>
        </w:rPr>
        <w:t>Because the information arrival date may coincide with a non-trading day, the event is operationalised using a reaction-day convention. Specifically, the reaction day is defined as the first trading day on or after the headline date that appears in the price series. This convention ensures that the measured event-day response corresponds to the earliest opportunity for market participants to incorporate the information into traded prices.</w:t>
      </w:r>
    </w:p>
    <w:p w14:paraId="230F2B69" w14:textId="18441846" w:rsidR="00117474" w:rsidRDefault="00696709" w:rsidP="000840E5">
      <w:pPr>
        <w:spacing w:after="0" w:line="360" w:lineRule="auto"/>
        <w:jc w:val="both"/>
        <w:rPr>
          <w:rFonts w:ascii="Times New Roman" w:eastAsia="Calibri" w:hAnsi="Times New Roman" w:cs="Times New Roman"/>
          <w:iCs/>
          <w:kern w:val="32"/>
          <w:sz w:val="24"/>
          <w:szCs w:val="24"/>
          <w:lang w:val="en-US" w:eastAsia="en-GB"/>
          <w14:ligatures w14:val="none"/>
        </w:rPr>
      </w:pPr>
      <w:r w:rsidRPr="00696709">
        <w:rPr>
          <w:rFonts w:ascii="Times New Roman" w:eastAsia="Calibri" w:hAnsi="Times New Roman" w:cs="Times New Roman"/>
          <w:iCs/>
          <w:kern w:val="32"/>
          <w:sz w:val="24"/>
          <w:szCs w:val="24"/>
          <w:lang w:val="en-US" w:eastAsia="en-GB"/>
          <w14:ligatures w14:val="none"/>
        </w:rPr>
        <w:t>USO returns may deviate from spot crude oil returns because the fund primarily holds and rolls futures positions. Consequently, term-structure conditions and roll mechanics, including contango or backwardation and associated roll yield effects, can influence realised USO performance and should be considered when interpreting event-window results</w:t>
      </w:r>
      <w:r w:rsidR="00D01764">
        <w:rPr>
          <w:rFonts w:ascii="Times New Roman" w:eastAsia="Calibri" w:hAnsi="Times New Roman" w:cs="Times New Roman"/>
          <w:iCs/>
          <w:kern w:val="32"/>
          <w:sz w:val="24"/>
          <w:szCs w:val="24"/>
          <w:lang w:val="en-US" w:eastAsia="en-GB"/>
          <w14:ligatures w14:val="none"/>
        </w:rPr>
        <w:t>.</w:t>
      </w:r>
    </w:p>
    <w:p w14:paraId="1779E94A" w14:textId="41D3E9F5" w:rsidR="0038176E" w:rsidRPr="0038176E" w:rsidRDefault="0038176E" w:rsidP="000840E5">
      <w:pPr>
        <w:spacing w:after="0" w:line="360" w:lineRule="auto"/>
        <w:jc w:val="both"/>
        <w:rPr>
          <w:rFonts w:ascii="Times New Roman" w:hAnsi="Times New Roman" w:cs="Times New Roman"/>
          <w:sz w:val="24"/>
          <w:szCs w:val="24"/>
        </w:rPr>
      </w:pPr>
      <w:r w:rsidRPr="0038176E">
        <w:rPr>
          <w:rFonts w:ascii="Times New Roman" w:hAnsi="Times New Roman" w:cs="Times New Roman"/>
          <w:sz w:val="24"/>
          <w:szCs w:val="24"/>
        </w:rPr>
        <w:t>The headline date is set to 3 January 2026, and the reaction day is the next trading day in the dataset. The event window is defined as ±20</w:t>
      </w:r>
      <w:r>
        <w:rPr>
          <w:rFonts w:ascii="Times New Roman" w:hAnsi="Times New Roman" w:cs="Times New Roman"/>
          <w:sz w:val="24"/>
          <w:szCs w:val="24"/>
        </w:rPr>
        <w:t xml:space="preserve"> </w:t>
      </w:r>
      <w:r w:rsidRPr="0038176E">
        <w:rPr>
          <w:rFonts w:ascii="Times New Roman" w:hAnsi="Times New Roman" w:cs="Times New Roman"/>
          <w:sz w:val="24"/>
          <w:szCs w:val="24"/>
        </w:rPr>
        <w:t>trading days around the reaction day. The pre-event estimation window used to compute μ</w:t>
      </w:r>
      <w:r>
        <w:rPr>
          <w:rFonts w:ascii="Times New Roman" w:hAnsi="Times New Roman" w:cs="Times New Roman"/>
          <w:sz w:val="24"/>
          <w:szCs w:val="24"/>
        </w:rPr>
        <w:t xml:space="preserve"> </w:t>
      </w:r>
      <w:r w:rsidRPr="0038176E">
        <w:rPr>
          <w:rFonts w:ascii="Times New Roman" w:hAnsi="Times New Roman" w:cs="Times New Roman"/>
          <w:sz w:val="24"/>
          <w:szCs w:val="24"/>
        </w:rPr>
        <w:t>and σ</w:t>
      </w:r>
      <w:r>
        <w:rPr>
          <w:rFonts w:ascii="Times New Roman" w:hAnsi="Times New Roman" w:cs="Times New Roman"/>
          <w:sz w:val="24"/>
          <w:szCs w:val="24"/>
        </w:rPr>
        <w:t xml:space="preserve"> </w:t>
      </w:r>
      <w:r w:rsidRPr="0038176E">
        <w:rPr>
          <w:rFonts w:ascii="Times New Roman" w:hAnsi="Times New Roman" w:cs="Times New Roman"/>
          <w:sz w:val="24"/>
          <w:szCs w:val="24"/>
        </w:rPr>
        <w:t>contains 180 trading days ending one day before the reaction day. The jump threshold is</w:t>
      </w:r>
      <w:r>
        <w:rPr>
          <w:rFonts w:ascii="Times New Roman" w:hAnsi="Times New Roman" w:cs="Times New Roman"/>
          <w:sz w:val="24"/>
          <w:szCs w:val="24"/>
        </w:rPr>
        <w:t xml:space="preserve"> </w:t>
      </w:r>
      <w:r w:rsidRPr="0038176E">
        <w:rPr>
          <w:rFonts w:ascii="Times New Roman" w:hAnsi="Times New Roman" w:cs="Times New Roman"/>
          <w:sz w:val="24"/>
          <w:szCs w:val="24"/>
        </w:rPr>
        <w:t>z</w:t>
      </w:r>
      <w:r w:rsidRPr="0038176E">
        <w:rPr>
          <w:rFonts w:ascii="Cambria Math" w:hAnsi="Cambria Math" w:cs="Cambria Math"/>
          <w:sz w:val="24"/>
          <w:szCs w:val="24"/>
        </w:rPr>
        <w:t>∗</w:t>
      </w:r>
      <w:r w:rsidRPr="0038176E">
        <w:rPr>
          <w:rFonts w:ascii="Times New Roman" w:hAnsi="Times New Roman" w:cs="Times New Roman"/>
          <w:sz w:val="24"/>
          <w:szCs w:val="24"/>
        </w:rPr>
        <w:t>=2.5. Rolling volatility is computed using a 10-day window.</w:t>
      </w:r>
    </w:p>
    <w:p w14:paraId="43635D3D" w14:textId="5E01EF5C" w:rsidR="00696709" w:rsidRPr="001A2B31" w:rsidRDefault="00696709" w:rsidP="001A2B31">
      <w:pPr>
        <w:pStyle w:val="Heading2"/>
        <w:numPr>
          <w:ilvl w:val="1"/>
          <w:numId w:val="2"/>
        </w:numPr>
        <w:rPr>
          <w:b/>
          <w:bCs/>
          <w:color w:val="000000" w:themeColor="text1"/>
          <w:sz w:val="24"/>
          <w:szCs w:val="24"/>
        </w:rPr>
      </w:pPr>
      <w:r w:rsidRPr="001A2B31">
        <w:rPr>
          <w:b/>
          <w:bCs/>
          <w:color w:val="000000" w:themeColor="text1"/>
          <w:sz w:val="24"/>
          <w:szCs w:val="24"/>
        </w:rPr>
        <w:t xml:space="preserve">Notation </w:t>
      </w:r>
    </w:p>
    <w:p w14:paraId="1C4FEBF2" w14:textId="03C3012B" w:rsidR="00696709" w:rsidRPr="00121D10" w:rsidRDefault="00696709" w:rsidP="00696709">
      <w:pPr>
        <w:spacing w:line="360" w:lineRule="auto"/>
        <w:jc w:val="both"/>
        <w:rPr>
          <w:rFonts w:ascii="Times New Roman" w:eastAsiaTheme="minorEastAsia" w:hAnsi="Times New Roman" w:cs="Times New Roman"/>
          <w:sz w:val="24"/>
          <w:szCs w:val="24"/>
        </w:rPr>
      </w:pPr>
      <w:r>
        <w:rPr>
          <w:rFonts w:ascii="Times New Roman" w:hAnsi="Times New Roman" w:cs="Times New Roman"/>
          <w:sz w:val="24"/>
          <w:szCs w:val="24"/>
          <w:lang w:val="en-GB"/>
        </w:rPr>
        <w:t>Let</w:t>
      </w:r>
      <w:r w:rsidR="001E7E92">
        <w:rPr>
          <w:rFonts w:ascii="Times New Roman" w:hAnsi="Times New Roman" w:cs="Times New Roman"/>
          <w:sz w:val="24"/>
          <w:szCs w:val="24"/>
          <w:lang w:val="en-GB"/>
        </w:rPr>
        <w:t xml:space="preserve"> </w:t>
      </w:r>
      <w:r w:rsidR="001E7E92" w:rsidRPr="001E7E92">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oMath>
      <w:r w:rsidR="001E7E92" w:rsidRPr="001E7E92">
        <w:rPr>
          <w:rFonts w:ascii="Times New Roman" w:hAnsi="Times New Roman" w:cs="Times New Roman"/>
          <w:sz w:val="24"/>
          <w:szCs w:val="24"/>
        </w:rPr>
        <w:t xml:space="preserve"> denote the USO closing price on trading day</w:t>
      </w:r>
      <w:r w:rsidR="00C536B7">
        <w:rPr>
          <w:rFonts w:ascii="Times New Roman" w:hAnsi="Times New Roman" w:cs="Times New Roman"/>
          <w:sz w:val="24"/>
          <w:szCs w:val="24"/>
        </w:rPr>
        <w:t xml:space="preserve"> </w:t>
      </w:r>
      <m:oMath>
        <m:r>
          <w:rPr>
            <w:rFonts w:ascii="Cambria Math" w:hAnsi="Cambria Math" w:cs="Times New Roman"/>
            <w:sz w:val="24"/>
            <w:szCs w:val="24"/>
          </w:rPr>
          <m:t>t</m:t>
        </m:r>
      </m:oMath>
      <w:r w:rsidR="001E7E92" w:rsidRPr="001E7E92">
        <w:rPr>
          <w:rFonts w:ascii="Times New Roman" w:hAnsi="Times New Roman" w:cs="Times New Roman"/>
          <w:sz w:val="24"/>
          <w:szCs w:val="24"/>
        </w:rPr>
        <w:t xml:space="preserve"> , and let</w:t>
      </w:r>
      <w:r w:rsidR="001E7E9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oMath>
      <w:r w:rsidR="001E7E92" w:rsidRPr="001E7E92">
        <w:rPr>
          <w:rFonts w:ascii="Times New Roman" w:hAnsi="Times New Roman" w:cs="Times New Roman"/>
          <w:sz w:val="24"/>
          <w:szCs w:val="24"/>
        </w:rPr>
        <w:t xml:space="preserve"> denote the corresponding log return. The reaction day is denoted by</w:t>
      </w:r>
      <w:r w:rsidR="001E7E92">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oMath>
      <w:r w:rsidR="001E7E92" w:rsidRPr="001E7E92">
        <w:rPr>
          <w:rFonts w:ascii="Times New Roman" w:hAnsi="Times New Roman" w:cs="Times New Roman"/>
          <w:sz w:val="24"/>
          <w:szCs w:val="24"/>
        </w:rPr>
        <w:t xml:space="preserve"> , defined as the first trading day on or after the headline date. The event window is </w:t>
      </w:r>
      <m:oMath>
        <m:r>
          <w:rPr>
            <w:rFonts w:ascii="Cambria Math" w:hAnsi="Cambria Math" w:cs="Times New Roman"/>
            <w:sz w:val="24"/>
            <w:szCs w:val="24"/>
          </w:rPr>
          <m:t xml:space="preserve">W = </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r>
              <w:rPr>
                <w:rFonts w:ascii="Cambria Math" w:hAnsi="Cambria Math" w:cs="Times New Roman"/>
                <w:sz w:val="24"/>
                <w:szCs w:val="24"/>
              </w:rPr>
              <m:t xml:space="preserve">- K, …,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r>
              <w:rPr>
                <w:rFonts w:ascii="Cambria Math" w:hAnsi="Cambria Math" w:cs="Times New Roman"/>
                <w:sz w:val="24"/>
                <w:szCs w:val="24"/>
              </w:rPr>
              <m:t>+ K</m:t>
            </m:r>
          </m:e>
        </m:d>
      </m:oMath>
      <w:r w:rsidR="001E7E92" w:rsidRPr="001E7E92">
        <w:rPr>
          <w:rFonts w:ascii="Times New Roman" w:hAnsi="Times New Roman" w:cs="Times New Roman"/>
          <w:sz w:val="24"/>
          <w:szCs w:val="24"/>
        </w:rPr>
        <w:t xml:space="preserve">, and </w:t>
      </w:r>
      <m:oMath>
        <m:r>
          <w:rPr>
            <w:rFonts w:ascii="Cambria Math" w:hAnsi="Cambria Math" w:cs="Times New Roman"/>
            <w:sz w:val="24"/>
            <w:szCs w:val="24"/>
          </w:rPr>
          <m:t>E</m:t>
        </m:r>
      </m:oMath>
      <w:r w:rsidR="001E7E92" w:rsidRPr="001E7E92">
        <w:rPr>
          <w:rFonts w:ascii="Times New Roman" w:hAnsi="Times New Roman" w:cs="Times New Roman"/>
          <w:sz w:val="24"/>
          <w:szCs w:val="24"/>
        </w:rPr>
        <w:t xml:space="preserve"> denotes the pre-event estimation window used to characterise baseline return behaviour.</w:t>
      </w:r>
    </w:p>
    <w:p w14:paraId="693397C2" w14:textId="618A31C6" w:rsidR="00696709" w:rsidRPr="00696709" w:rsidRDefault="00696709" w:rsidP="001A2B31">
      <w:pPr>
        <w:pStyle w:val="Heading2"/>
        <w:numPr>
          <w:ilvl w:val="1"/>
          <w:numId w:val="2"/>
        </w:numPr>
        <w:rPr>
          <w:b/>
          <w:bCs/>
          <w:color w:val="000000" w:themeColor="text1"/>
          <w:sz w:val="24"/>
          <w:szCs w:val="24"/>
        </w:rPr>
      </w:pPr>
      <w:r w:rsidRPr="00696709">
        <w:rPr>
          <w:b/>
          <w:bCs/>
          <w:color w:val="000000" w:themeColor="text1"/>
          <w:sz w:val="24"/>
          <w:szCs w:val="24"/>
        </w:rPr>
        <w:t>Log returns</w:t>
      </w:r>
    </w:p>
    <w:p w14:paraId="687DFFA6" w14:textId="77777777" w:rsidR="00C224DA" w:rsidRDefault="00696709" w:rsidP="00117474">
      <w:pPr>
        <w:spacing w:after="0" w:line="360" w:lineRule="auto"/>
        <w:jc w:val="both"/>
        <w:rPr>
          <w:rFonts w:ascii="Times New Roman" w:hAnsi="Times New Roman" w:cs="Times New Roman"/>
          <w:sz w:val="24"/>
          <w:szCs w:val="24"/>
        </w:rPr>
      </w:pPr>
      <w:r w:rsidRPr="00696709">
        <w:rPr>
          <w:rFonts w:ascii="Times New Roman" w:hAnsi="Times New Roman" w:cs="Times New Roman"/>
          <w:sz w:val="24"/>
          <w:szCs w:val="24"/>
        </w:rPr>
        <w:t>We compute daily log returns:</w:t>
      </w:r>
    </w:p>
    <w:p w14:paraId="1267800A" w14:textId="7FE3E91C" w:rsidR="00C224DA" w:rsidRPr="00C224DA" w:rsidRDefault="00000000" w:rsidP="00117474">
      <w:pPr>
        <w:spacing w:after="0"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ln</m:t>
              </m:r>
              <m:ctrlPr>
                <w:rPr>
                  <w:rFonts w:ascii="Cambria Math" w:hAnsi="Cambria Math" w:cs="Times New Roman"/>
                  <w:i/>
                  <w:sz w:val="24"/>
                  <w:szCs w:val="24"/>
                </w:rPr>
              </m:ctrlPr>
            </m:fName>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e>
              </m:d>
            </m:e>
          </m:func>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ln</m:t>
              </m:r>
              <m:ctrlPr>
                <w:rPr>
                  <w:rFonts w:ascii="Cambria Math" w:hAnsi="Cambria Math" w:cs="Times New Roman"/>
                  <w:i/>
                  <w:sz w:val="24"/>
                  <w:szCs w:val="24"/>
                </w:rPr>
              </m:ctrlPr>
            </m:fName>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t-1</m:t>
                      </m:r>
                    </m:sub>
                  </m:sSub>
                </m:e>
              </m:d>
            </m:e>
          </m:func>
        </m:oMath>
      </m:oMathPara>
    </w:p>
    <w:p w14:paraId="463752DC" w14:textId="7A99DF46" w:rsidR="00117474" w:rsidRDefault="00117474" w:rsidP="00117474">
      <w:pPr>
        <w:spacing w:after="0" w:line="360" w:lineRule="auto"/>
        <w:jc w:val="both"/>
        <w:rPr>
          <w:rFonts w:ascii="Times New Roman" w:hAnsi="Times New Roman" w:cs="Times New Roman"/>
          <w:sz w:val="24"/>
          <w:szCs w:val="24"/>
        </w:rPr>
      </w:pPr>
      <w:r w:rsidRPr="00117474">
        <w:rPr>
          <w:rFonts w:ascii="Times New Roman" w:hAnsi="Times New Roman" w:cs="Times New Roman"/>
          <w:sz w:val="24"/>
          <w:szCs w:val="24"/>
        </w:rPr>
        <w:t>Log returns are additive over time, which is useful for cumulative return plots.</w:t>
      </w:r>
    </w:p>
    <w:p w14:paraId="64988ED5" w14:textId="77777777" w:rsidR="00C224DA" w:rsidRDefault="00C224DA" w:rsidP="00117474">
      <w:pPr>
        <w:spacing w:after="0" w:line="360" w:lineRule="auto"/>
        <w:jc w:val="both"/>
        <w:rPr>
          <w:rFonts w:ascii="Times New Roman" w:hAnsi="Times New Roman" w:cs="Times New Roman"/>
          <w:sz w:val="24"/>
          <w:szCs w:val="24"/>
        </w:rPr>
      </w:pPr>
    </w:p>
    <w:p w14:paraId="6622C969" w14:textId="13C97A53" w:rsidR="00117474" w:rsidRPr="00117474" w:rsidRDefault="00117474" w:rsidP="001A2B31">
      <w:pPr>
        <w:pStyle w:val="Heading2"/>
        <w:numPr>
          <w:ilvl w:val="1"/>
          <w:numId w:val="2"/>
        </w:numPr>
        <w:rPr>
          <w:b/>
          <w:bCs/>
          <w:color w:val="000000" w:themeColor="text1"/>
          <w:sz w:val="24"/>
          <w:szCs w:val="24"/>
        </w:rPr>
      </w:pPr>
      <w:r w:rsidRPr="001A2B31">
        <w:rPr>
          <w:b/>
          <w:bCs/>
          <w:color w:val="000000" w:themeColor="text1"/>
          <w:sz w:val="24"/>
          <w:szCs w:val="24"/>
        </w:rPr>
        <w:lastRenderedPageBreak/>
        <w:t>Reaction Day</w:t>
      </w:r>
      <w:r w:rsidRPr="00117474">
        <w:rPr>
          <w:b/>
          <w:bCs/>
          <w:color w:val="000000" w:themeColor="text1"/>
          <w:sz w:val="24"/>
          <w:szCs w:val="24"/>
        </w:rPr>
        <w:t xml:space="preserve"> alignment</w:t>
      </w:r>
    </w:p>
    <w:p w14:paraId="5F959B95" w14:textId="77777777" w:rsidR="00117474" w:rsidRDefault="00117474" w:rsidP="00117474">
      <w:pPr>
        <w:spacing w:after="0" w:line="360" w:lineRule="auto"/>
        <w:jc w:val="both"/>
        <w:rPr>
          <w:rFonts w:ascii="Times New Roman" w:hAnsi="Times New Roman" w:cs="Times New Roman"/>
          <w:sz w:val="24"/>
          <w:szCs w:val="24"/>
        </w:rPr>
      </w:pPr>
      <w:r w:rsidRPr="00117474">
        <w:rPr>
          <w:rFonts w:ascii="Times New Roman" w:hAnsi="Times New Roman" w:cs="Times New Roman"/>
          <w:sz w:val="24"/>
          <w:szCs w:val="24"/>
        </w:rPr>
        <w:t>If the headline occurs on a weekend/holiday, the reaction day is:</w:t>
      </w:r>
    </w:p>
    <w:p w14:paraId="2C4A4F92" w14:textId="5A02F6B2" w:rsidR="00117474" w:rsidRPr="00C224DA" w:rsidRDefault="00000000" w:rsidP="00117474">
      <w:pPr>
        <w:spacing w:after="0" w:line="360" w:lineRule="auto"/>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min</m:t>
              </m:r>
              <m:ctrlPr>
                <w:rPr>
                  <w:rFonts w:ascii="Cambria Math" w:hAnsi="Cambria Math" w:cs="Times New Roman"/>
                  <w:i/>
                  <w:sz w:val="24"/>
                  <w:szCs w:val="24"/>
                </w:rPr>
              </m:ctrlPr>
            </m:fName>
            <m:e>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t ∈ TradingDays : t ≥ EventDate </m:t>
                  </m:r>
                </m:e>
              </m:d>
            </m:e>
          </m:func>
        </m:oMath>
      </m:oMathPara>
    </w:p>
    <w:p w14:paraId="425D51AB" w14:textId="418F70AA" w:rsidR="00117474" w:rsidRDefault="00117474" w:rsidP="00117474">
      <w:pPr>
        <w:spacing w:after="0" w:line="360" w:lineRule="auto"/>
        <w:jc w:val="both"/>
        <w:rPr>
          <w:rFonts w:ascii="Times New Roman" w:hAnsi="Times New Roman" w:cs="Times New Roman"/>
          <w:sz w:val="24"/>
          <w:szCs w:val="24"/>
        </w:rPr>
      </w:pPr>
      <w:r w:rsidRPr="00117474">
        <w:rPr>
          <w:rFonts w:ascii="Times New Roman" w:hAnsi="Times New Roman" w:cs="Times New Roman"/>
          <w:sz w:val="24"/>
          <w:szCs w:val="24"/>
        </w:rPr>
        <w:t>This ensures the event is evaluated when the market first has a chance to trade.</w:t>
      </w:r>
    </w:p>
    <w:p w14:paraId="3BB09082" w14:textId="58A1DBF6" w:rsidR="00117474" w:rsidRPr="00117474" w:rsidRDefault="00117474" w:rsidP="001A2B31">
      <w:pPr>
        <w:pStyle w:val="Heading2"/>
        <w:numPr>
          <w:ilvl w:val="1"/>
          <w:numId w:val="2"/>
        </w:numPr>
        <w:rPr>
          <w:b/>
          <w:bCs/>
          <w:color w:val="000000" w:themeColor="text1"/>
          <w:sz w:val="24"/>
          <w:szCs w:val="24"/>
        </w:rPr>
      </w:pPr>
      <w:r w:rsidRPr="00117474">
        <w:rPr>
          <w:b/>
          <w:bCs/>
          <w:color w:val="000000" w:themeColor="text1"/>
          <w:sz w:val="24"/>
          <w:szCs w:val="24"/>
        </w:rPr>
        <w:t>Jump diagnostic (event-day “unusualness”)</w:t>
      </w:r>
    </w:p>
    <w:p w14:paraId="7FA4A12A" w14:textId="5DE274FA" w:rsidR="00117474" w:rsidRDefault="00117474" w:rsidP="00117474">
      <w:pPr>
        <w:spacing w:after="0" w:line="360" w:lineRule="auto"/>
        <w:jc w:val="both"/>
        <w:rPr>
          <w:rFonts w:ascii="Times New Roman" w:hAnsi="Times New Roman" w:cs="Times New Roman"/>
          <w:sz w:val="24"/>
          <w:szCs w:val="24"/>
        </w:rPr>
      </w:pPr>
      <w:r w:rsidRPr="00117474">
        <w:rPr>
          <w:rFonts w:ascii="Times New Roman" w:hAnsi="Times New Roman" w:cs="Times New Roman"/>
          <w:sz w:val="24"/>
          <w:szCs w:val="24"/>
        </w:rPr>
        <w:t xml:space="preserve">Define the pre-event mean and standard deviation from the estimation window </w:t>
      </w:r>
      <m:oMath>
        <m:r>
          <w:rPr>
            <w:rFonts w:ascii="Cambria Math" w:hAnsi="Cambria Math" w:cs="Times New Roman"/>
            <w:sz w:val="24"/>
            <w:szCs w:val="24"/>
          </w:rPr>
          <m:t>E</m:t>
        </m:r>
      </m:oMath>
      <w:r w:rsidRPr="00117474">
        <w:rPr>
          <w:rFonts w:ascii="Times New Roman" w:hAnsi="Times New Roman" w:cs="Times New Roman"/>
          <w:sz w:val="24"/>
          <w:szCs w:val="24"/>
        </w:rPr>
        <w:t>:</w:t>
      </w:r>
    </w:p>
    <w:p w14:paraId="3BAA4209" w14:textId="0D00317A" w:rsidR="00C224DA" w:rsidRPr="00C224DA" w:rsidRDefault="00C224DA" w:rsidP="00117474">
      <w:pPr>
        <w:spacing w:after="0"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μ = </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d>
                  <m:dPr>
                    <m:begChr m:val="|"/>
                    <m:endChr m:val="|"/>
                    <m:ctrlPr>
                      <w:rPr>
                        <w:rFonts w:ascii="Cambria Math" w:hAnsi="Cambria Math" w:cs="Times New Roman"/>
                        <w:i/>
                        <w:sz w:val="24"/>
                        <w:szCs w:val="24"/>
                      </w:rPr>
                    </m:ctrlPr>
                  </m:dPr>
                  <m:e>
                    <m:r>
                      <w:rPr>
                        <w:rFonts w:ascii="Cambria Math" w:hAnsi="Cambria Math" w:cs="Times New Roman"/>
                        <w:sz w:val="24"/>
                        <w:szCs w:val="24"/>
                      </w:rPr>
                      <m:t>E</m:t>
                    </m:r>
                  </m:e>
                </m:d>
              </m:den>
            </m:f>
          </m:e>
        </m:d>
        <m:sSub>
          <m:sSubPr>
            <m:ctrlPr>
              <w:rPr>
                <w:rFonts w:ascii="Cambria Math" w:hAnsi="Cambria Math" w:cs="Times New Roman"/>
                <w:i/>
                <w:sz w:val="24"/>
                <w:szCs w:val="24"/>
              </w:rPr>
            </m:ctrlPr>
          </m:sSubPr>
          <m:e>
            <m:r>
              <w:rPr>
                <w:rFonts w:ascii="Cambria Math" w:hAnsi="Cambria Math" w:cs="Times New Roman"/>
                <w:sz w:val="24"/>
                <w:szCs w:val="24"/>
              </w:rPr>
              <m:t>Σ</m:t>
            </m:r>
          </m:e>
          <m:sub>
            <m:d>
              <m:dPr>
                <m:begChr m:val="{"/>
                <m:endChr m:val="}"/>
                <m:ctrlPr>
                  <w:rPr>
                    <w:rFonts w:ascii="Cambria Math" w:hAnsi="Cambria Math" w:cs="Times New Roman"/>
                    <w:i/>
                    <w:sz w:val="24"/>
                    <w:szCs w:val="24"/>
                  </w:rPr>
                </m:ctrlPr>
              </m:dPr>
              <m:e>
                <m:r>
                  <w:rPr>
                    <w:rFonts w:ascii="Cambria Math" w:hAnsi="Cambria Math" w:cs="Times New Roman"/>
                    <w:sz w:val="24"/>
                    <w:szCs w:val="24"/>
                  </w:rPr>
                  <m:t>t∈E</m:t>
                </m:r>
              </m:e>
            </m:d>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sub>
        </m:sSub>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σ = sqrt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E</m:t>
                        </m:r>
                      </m:e>
                    </m:d>
                    <m:r>
                      <w:rPr>
                        <w:rFonts w:ascii="Cambria Math" w:eastAsiaTheme="minorEastAsia" w:hAnsi="Cambria Math" w:cs="Times New Roman"/>
                        <w:sz w:val="24"/>
                        <w:szCs w:val="24"/>
                      </w:rPr>
                      <m:t>-1</m:t>
                    </m:r>
                  </m:den>
                </m:f>
              </m:e>
            </m:d>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Σ</m:t>
                </m:r>
              </m:e>
              <m:sub>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t∈E</m:t>
                    </m:r>
                  </m:e>
                </m:d>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 μ</m:t>
                    </m:r>
                  </m:e>
                </m:d>
              </m:sub>
              <m:sup>
                <m:r>
                  <w:rPr>
                    <w:rFonts w:ascii="Cambria Math" w:eastAsiaTheme="minorEastAsia" w:hAnsi="Cambria Math" w:cs="Times New Roman"/>
                    <w:sz w:val="24"/>
                    <w:szCs w:val="24"/>
                  </w:rPr>
                  <m:t>2</m:t>
                </m:r>
              </m:sup>
            </m:sSubSup>
          </m:e>
        </m:d>
      </m:oMath>
    </w:p>
    <w:p w14:paraId="0F4D50ED" w14:textId="77777777" w:rsidR="00C224DA" w:rsidRDefault="00117474" w:rsidP="00117474">
      <w:pPr>
        <w:spacing w:after="0" w:line="360" w:lineRule="auto"/>
        <w:jc w:val="both"/>
        <w:rPr>
          <w:rFonts w:ascii="Times New Roman" w:hAnsi="Times New Roman" w:cs="Times New Roman"/>
          <w:sz w:val="24"/>
          <w:szCs w:val="24"/>
        </w:rPr>
      </w:pPr>
      <w:r w:rsidRPr="00117474">
        <w:rPr>
          <w:rFonts w:ascii="Times New Roman" w:hAnsi="Times New Roman" w:cs="Times New Roman"/>
          <w:sz w:val="24"/>
          <w:szCs w:val="24"/>
        </w:rPr>
        <w:t>Compute the event-day z-score:</w:t>
      </w:r>
      <w:r>
        <w:rPr>
          <w:rFonts w:ascii="Times New Roman" w:hAnsi="Times New Roman" w:cs="Times New Roman"/>
          <w:sz w:val="24"/>
          <w:szCs w:val="24"/>
        </w:rPr>
        <w:t xml:space="preserve"> </w:t>
      </w:r>
    </w:p>
    <w:p w14:paraId="5E7D8494" w14:textId="2B7053D8" w:rsidR="00C224DA" w:rsidRPr="00C224DA" w:rsidRDefault="00000000" w:rsidP="00117474">
      <w:pPr>
        <w:spacing w:after="0"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z</m:t>
              </m:r>
            </m:e>
            <m: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e>
              </m:d>
            </m:sub>
          </m:sSub>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e>
                      </m:d>
                    </m:sub>
                  </m:sSub>
                  <m:r>
                    <w:rPr>
                      <w:rFonts w:ascii="Cambria Math" w:hAnsi="Cambria Math" w:cs="Times New Roman"/>
                      <w:sz w:val="24"/>
                      <w:szCs w:val="24"/>
                    </w:rPr>
                    <m:t>- μ</m:t>
                  </m:r>
                </m:e>
              </m:d>
            </m:num>
            <m:den>
              <m:r>
                <w:rPr>
                  <w:rFonts w:ascii="Cambria Math" w:hAnsi="Cambria Math" w:cs="Times New Roman"/>
                  <w:sz w:val="24"/>
                  <w:szCs w:val="24"/>
                </w:rPr>
                <m:t>σ</m:t>
              </m:r>
            </m:den>
          </m:f>
        </m:oMath>
      </m:oMathPara>
    </w:p>
    <w:p w14:paraId="5390E0A4" w14:textId="2A82EBC7" w:rsidR="00D628D2" w:rsidRPr="0038176E" w:rsidRDefault="00117474" w:rsidP="00117474">
      <w:pPr>
        <w:spacing w:after="0" w:line="360" w:lineRule="auto"/>
        <w:jc w:val="both"/>
        <w:rPr>
          <w:rFonts w:ascii="Times New Roman" w:eastAsiaTheme="minorEastAsia" w:hAnsi="Times New Roman" w:cs="Times New Roman"/>
          <w:sz w:val="24"/>
          <w:szCs w:val="24"/>
        </w:rPr>
      </w:pPr>
      <w:r w:rsidRPr="00117474">
        <w:rPr>
          <w:rFonts w:ascii="Times New Roman" w:hAnsi="Times New Roman" w:cs="Times New Roman"/>
          <w:sz w:val="24"/>
          <w:szCs w:val="24"/>
        </w:rPr>
        <w:t>A “jump” is flagged when:</w:t>
      </w:r>
      <w:r w:rsidR="0038176E">
        <w:rPr>
          <w:rFonts w:ascii="Times New Roman" w:hAnsi="Times New Roman" w:cs="Times New Roman"/>
          <w:sz w:val="24"/>
          <w:szCs w:val="24"/>
        </w:rPr>
        <w:t xml:space="preserve">      </w:t>
      </w:r>
      <m:oMath>
        <m:r>
          <w:rPr>
            <w:rFonts w:ascii="Cambria Math" w:hAnsi="Cambria Math" w:cs="Times New Roman"/>
            <w:sz w:val="24"/>
            <w:szCs w:val="24"/>
          </w:rPr>
          <m:t>Jump = 1</m:t>
        </m:r>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z</m:t>
                    </m:r>
                  </m:e>
                  <m: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e>
                    </m:d>
                  </m:sub>
                </m:sSub>
              </m:e>
            </m:d>
            <m:r>
              <w:rPr>
                <w:rFonts w:ascii="Cambria Math" w:hAnsi="Cambria Math" w:cs="Times New Roman"/>
                <w:sz w:val="24"/>
                <w:szCs w:val="24"/>
              </w:rPr>
              <m:t xml:space="preserve">≥ z* </m:t>
            </m:r>
          </m:e>
        </m:d>
      </m:oMath>
      <w:r w:rsidR="0038176E">
        <w:rPr>
          <w:rFonts w:ascii="Times New Roman" w:eastAsiaTheme="minorEastAsia" w:hAnsi="Times New Roman" w:cs="Times New Roman"/>
          <w:sz w:val="24"/>
          <w:szCs w:val="24"/>
        </w:rPr>
        <w:t xml:space="preserve">   </w:t>
      </w:r>
    </w:p>
    <w:p w14:paraId="7E946564" w14:textId="77777777" w:rsidR="0038176E" w:rsidRDefault="0038176E" w:rsidP="00117474">
      <w:pPr>
        <w:spacing w:after="0" w:line="360" w:lineRule="auto"/>
        <w:jc w:val="both"/>
        <w:rPr>
          <w:rFonts w:ascii="Times New Roman" w:hAnsi="Times New Roman" w:cs="Times New Roman"/>
          <w:sz w:val="24"/>
          <w:szCs w:val="24"/>
        </w:rPr>
      </w:pPr>
      <w:r w:rsidRPr="0038176E">
        <w:rPr>
          <w:rFonts w:ascii="Times New Roman" w:hAnsi="Times New Roman" w:cs="Times New Roman"/>
          <w:sz w:val="24"/>
          <w:szCs w:val="24"/>
        </w:rPr>
        <w:t>where z</w:t>
      </w:r>
      <w:r w:rsidRPr="0038176E">
        <w:rPr>
          <w:rFonts w:ascii="Cambria Math" w:hAnsi="Cambria Math" w:cs="Cambria Math"/>
          <w:sz w:val="24"/>
          <w:szCs w:val="24"/>
        </w:rPr>
        <w:t>∗</w:t>
      </w:r>
      <w:r>
        <w:rPr>
          <w:rFonts w:ascii="Times New Roman" w:hAnsi="Times New Roman" w:cs="Times New Roman"/>
          <w:sz w:val="24"/>
          <w:szCs w:val="24"/>
        </w:rPr>
        <w:t xml:space="preserve"> </w:t>
      </w:r>
      <w:r w:rsidRPr="0038176E">
        <w:rPr>
          <w:rFonts w:ascii="Times New Roman" w:hAnsi="Times New Roman" w:cs="Times New Roman"/>
          <w:sz w:val="24"/>
          <w:szCs w:val="24"/>
        </w:rPr>
        <w:t>=</w:t>
      </w:r>
      <w:r>
        <w:rPr>
          <w:rFonts w:ascii="Times New Roman" w:hAnsi="Times New Roman" w:cs="Times New Roman"/>
          <w:sz w:val="24"/>
          <w:szCs w:val="24"/>
        </w:rPr>
        <w:t xml:space="preserve"> </w:t>
      </w:r>
      <w:r w:rsidRPr="0038176E">
        <w:rPr>
          <w:rFonts w:ascii="Times New Roman" w:hAnsi="Times New Roman" w:cs="Times New Roman"/>
          <w:sz w:val="24"/>
          <w:szCs w:val="24"/>
        </w:rPr>
        <w:t>2.5 in this stud</w:t>
      </w:r>
      <w:r>
        <w:rPr>
          <w:rFonts w:ascii="Times New Roman" w:hAnsi="Times New Roman" w:cs="Times New Roman"/>
          <w:sz w:val="24"/>
          <w:szCs w:val="24"/>
        </w:rPr>
        <w:t xml:space="preserve">y. </w:t>
      </w:r>
    </w:p>
    <w:p w14:paraId="5F017BE7" w14:textId="6AE0992E" w:rsidR="00D628D2" w:rsidRDefault="0038176E" w:rsidP="0011747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w:t>
      </w:r>
      <w:r w:rsidR="00D628D2" w:rsidRPr="00D628D2">
        <w:rPr>
          <w:rFonts w:ascii="Times New Roman" w:hAnsi="Times New Roman" w:cs="Times New Roman"/>
          <w:sz w:val="24"/>
          <w:szCs w:val="24"/>
        </w:rPr>
        <w:t>f the event-day return is inside the ±2.5σ</w:t>
      </w:r>
      <w:r w:rsidR="00D628D2">
        <w:rPr>
          <w:rFonts w:ascii="Times New Roman" w:hAnsi="Times New Roman" w:cs="Times New Roman"/>
          <w:sz w:val="24"/>
          <w:szCs w:val="24"/>
        </w:rPr>
        <w:t xml:space="preserve"> </w:t>
      </w:r>
      <w:r w:rsidR="00D628D2" w:rsidRPr="00D628D2">
        <w:rPr>
          <w:rFonts w:ascii="Times New Roman" w:hAnsi="Times New Roman" w:cs="Times New Roman"/>
          <w:sz w:val="24"/>
          <w:szCs w:val="24"/>
        </w:rPr>
        <w:t>band, the move is not statistically extreme relative to typical pre-event fluctuations.</w:t>
      </w:r>
    </w:p>
    <w:p w14:paraId="231C016F" w14:textId="44761429" w:rsidR="00D628D2" w:rsidRPr="00D628D2" w:rsidRDefault="00D628D2" w:rsidP="001A2B31">
      <w:pPr>
        <w:pStyle w:val="Heading2"/>
        <w:numPr>
          <w:ilvl w:val="1"/>
          <w:numId w:val="2"/>
        </w:numPr>
        <w:rPr>
          <w:b/>
          <w:bCs/>
          <w:color w:val="000000" w:themeColor="text1"/>
          <w:sz w:val="24"/>
          <w:szCs w:val="24"/>
        </w:rPr>
      </w:pPr>
      <w:r w:rsidRPr="00D628D2">
        <w:rPr>
          <w:b/>
          <w:bCs/>
          <w:color w:val="000000" w:themeColor="text1"/>
          <w:sz w:val="24"/>
          <w:szCs w:val="24"/>
        </w:rPr>
        <w:t>Rolling volatility (uncertainty response)</w:t>
      </w:r>
    </w:p>
    <w:p w14:paraId="046FCC48" w14:textId="63F5DC84" w:rsidR="00D628D2" w:rsidRDefault="00D628D2" w:rsidP="00D628D2">
      <w:pPr>
        <w:spacing w:after="0" w:line="360" w:lineRule="auto"/>
        <w:jc w:val="both"/>
        <w:rPr>
          <w:rFonts w:ascii="Times New Roman" w:hAnsi="Times New Roman" w:cs="Times New Roman"/>
          <w:sz w:val="24"/>
          <w:szCs w:val="24"/>
        </w:rPr>
      </w:pPr>
      <w:r w:rsidRPr="00D628D2">
        <w:rPr>
          <w:rFonts w:ascii="Times New Roman" w:hAnsi="Times New Roman" w:cs="Times New Roman"/>
          <w:sz w:val="24"/>
          <w:szCs w:val="24"/>
        </w:rPr>
        <w:t>To capture changes in uncertainty, compute rolling volatility over a window of m</w:t>
      </w:r>
      <w:r>
        <w:rPr>
          <w:rFonts w:ascii="Times New Roman" w:hAnsi="Times New Roman" w:cs="Times New Roman"/>
          <w:sz w:val="24"/>
          <w:szCs w:val="24"/>
        </w:rPr>
        <w:t xml:space="preserve"> </w:t>
      </w:r>
      <w:r w:rsidRPr="00D628D2">
        <w:rPr>
          <w:rFonts w:ascii="Times New Roman" w:hAnsi="Times New Roman" w:cs="Times New Roman"/>
          <w:sz w:val="24"/>
          <w:szCs w:val="24"/>
        </w:rPr>
        <w:t>days</w:t>
      </w:r>
      <w:r>
        <w:rPr>
          <w:rFonts w:ascii="Times New Roman" w:hAnsi="Times New Roman" w:cs="Times New Roman"/>
          <w:sz w:val="24"/>
          <w:szCs w:val="24"/>
        </w:rPr>
        <w:t>:</w:t>
      </w:r>
    </w:p>
    <w:p w14:paraId="34798B28" w14:textId="14F87FED" w:rsidR="0038176E" w:rsidRPr="0038176E" w:rsidRDefault="00000000" w:rsidP="00D628D2">
      <w:pPr>
        <w:spacing w:after="0" w:line="360" w:lineRule="auto"/>
        <w:jc w:val="both"/>
        <w:rPr>
          <w:rFonts w:ascii="Times New Roman" w:eastAsiaTheme="minorEastAsia" w:hAnsi="Times New Roman" w:cs="Times New Roman"/>
          <w:sz w:val="24"/>
          <w:szCs w:val="24"/>
        </w:rPr>
      </w:pPr>
      <m:oMathPara>
        <m:oMath>
          <m:sSubSup>
            <m:sSubSupPr>
              <m:ctrlPr>
                <w:rPr>
                  <w:rFonts w:ascii="Cambria Math" w:hAnsi="Cambria Math" w:cs="Times New Roman"/>
                  <w:i/>
                  <w:sz w:val="24"/>
                  <w:szCs w:val="24"/>
                </w:rPr>
              </m:ctrlPr>
            </m:sSubSupPr>
            <m:e>
              <m:acc>
                <m:accPr>
                  <m:ctrlPr>
                    <w:rPr>
                      <w:rFonts w:ascii="Cambria Math" w:hAnsi="Cambria Math" w:cs="Times New Roman"/>
                      <w:i/>
                      <w:sz w:val="24"/>
                      <w:szCs w:val="24"/>
                    </w:rPr>
                  </m:ctrlPr>
                </m:accPr>
                <m:e>
                  <m:r>
                    <w:rPr>
                      <w:rFonts w:ascii="Cambria Math" w:hAnsi="Cambria Math" w:cs="Times New Roman"/>
                      <w:sz w:val="24"/>
                      <w:szCs w:val="24"/>
                    </w:rPr>
                    <m:t>σ</m:t>
                  </m:r>
                </m:e>
              </m:acc>
            </m:e>
            <m:sub>
              <m:r>
                <w:rPr>
                  <w:rFonts w:ascii="Cambria Math" w:hAnsi="Cambria Math" w:cs="Times New Roman"/>
                  <w:sz w:val="24"/>
                  <w:szCs w:val="24"/>
                </w:rPr>
                <m:t>t</m:t>
              </m:r>
            </m:sub>
            <m:sup>
              <m:d>
                <m:dPr>
                  <m:begChr m:val="{"/>
                  <m:endChr m:val="}"/>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m</m:t>
                      </m:r>
                    </m:e>
                  </m:d>
                </m:e>
              </m:d>
            </m:sup>
          </m:sSubSup>
          <m:r>
            <w:rPr>
              <w:rFonts w:ascii="Cambria Math" w:hAnsi="Cambria Math" w:cs="Times New Roman"/>
              <w:sz w:val="24"/>
              <w:szCs w:val="24"/>
            </w:rPr>
            <m:t>= sqrt</m:t>
          </m:r>
          <m:d>
            <m:dPr>
              <m:ctrlPr>
                <w:rPr>
                  <w:rFonts w:ascii="Cambria Math" w:hAnsi="Cambria Math" w:cs="Times New Roman"/>
                  <w:i/>
                  <w:sz w:val="24"/>
                  <w:szCs w:val="24"/>
                </w:rPr>
              </m:ctrlPr>
            </m:dPr>
            <m:e>
              <m:r>
                <w:rPr>
                  <w:rFonts w:ascii="Cambria Math" w:hAnsi="Cambria Math" w:cs="Times New Roman"/>
                  <w:sz w:val="24"/>
                  <w:szCs w:val="24"/>
                </w:rPr>
                <m:t xml:space="preserve"> </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m-1</m:t>
                      </m:r>
                    </m:den>
                  </m:f>
                </m:e>
              </m:d>
              <m:sSubSup>
                <m:sSubSupPr>
                  <m:ctrlPr>
                    <w:rPr>
                      <w:rFonts w:ascii="Cambria Math" w:hAnsi="Cambria Math" w:cs="Times New Roman"/>
                      <w:i/>
                      <w:sz w:val="24"/>
                      <w:szCs w:val="24"/>
                    </w:rPr>
                  </m:ctrlPr>
                </m:sSubSupPr>
                <m:e>
                  <m:r>
                    <w:rPr>
                      <w:rFonts w:ascii="Cambria Math" w:hAnsi="Cambria Math" w:cs="Times New Roman"/>
                      <w:sz w:val="24"/>
                      <w:szCs w:val="24"/>
                    </w:rPr>
                    <m:t>Σ</m:t>
                  </m:r>
                </m:e>
                <m:sub>
                  <m:d>
                    <m:dPr>
                      <m:begChr m:val="{"/>
                      <m:endChr m:val="}"/>
                      <m:ctrlPr>
                        <w:rPr>
                          <w:rFonts w:ascii="Cambria Math" w:hAnsi="Cambria Math" w:cs="Times New Roman"/>
                          <w:i/>
                          <w:sz w:val="24"/>
                          <w:szCs w:val="24"/>
                        </w:rPr>
                      </m:ctrlPr>
                    </m:dPr>
                    <m:e>
                      <m:r>
                        <w:rPr>
                          <w:rFonts w:ascii="Cambria Math" w:hAnsi="Cambria Math" w:cs="Times New Roman"/>
                          <w:sz w:val="24"/>
                          <w:szCs w:val="24"/>
                        </w:rPr>
                        <m:t>i=0</m:t>
                      </m:r>
                    </m:e>
                  </m:d>
                </m:sub>
                <m:sup>
                  <m:d>
                    <m:dPr>
                      <m:begChr m:val="{"/>
                      <m:endChr m:val="}"/>
                      <m:ctrlPr>
                        <w:rPr>
                          <w:rFonts w:ascii="Cambria Math" w:hAnsi="Cambria Math" w:cs="Times New Roman"/>
                          <w:i/>
                          <w:sz w:val="24"/>
                          <w:szCs w:val="24"/>
                        </w:rPr>
                      </m:ctrlPr>
                    </m:dPr>
                    <m:e>
                      <m:r>
                        <w:rPr>
                          <w:rFonts w:ascii="Cambria Math" w:hAnsi="Cambria Math" w:cs="Times New Roman"/>
                          <w:sz w:val="24"/>
                          <w:szCs w:val="24"/>
                        </w:rPr>
                        <m:t>m-1</m:t>
                      </m:r>
                    </m:e>
                  </m:d>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d>
                                <m:dPr>
                                  <m:begChr m:val="{"/>
                                  <m:endChr m:val="}"/>
                                  <m:ctrlPr>
                                    <w:rPr>
                                      <w:rFonts w:ascii="Cambria Math" w:hAnsi="Cambria Math" w:cs="Times New Roman"/>
                                      <w:i/>
                                      <w:sz w:val="24"/>
                                      <w:szCs w:val="24"/>
                                    </w:rPr>
                                  </m:ctrlPr>
                                </m:dPr>
                                <m:e>
                                  <m:r>
                                    <w:rPr>
                                      <w:rFonts w:ascii="Cambria Math" w:hAnsi="Cambria Math" w:cs="Times New Roman"/>
                                      <w:sz w:val="24"/>
                                      <w:szCs w:val="24"/>
                                    </w:rPr>
                                    <m:t>t-i</m:t>
                                  </m:r>
                                </m:e>
                              </m:d>
                            </m:sub>
                          </m:sSub>
                          <m:r>
                            <w:rPr>
                              <w:rFonts w:ascii="Cambria Math" w:hAnsi="Cambria Math" w:cs="Times New Roman"/>
                              <w:sz w:val="24"/>
                              <w:szCs w:val="24"/>
                            </w:rPr>
                            <m:t xml:space="preserve">- </m:t>
                          </m:r>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t</m:t>
                              </m:r>
                            </m:sub>
                            <m:sup>
                              <m:d>
                                <m:dPr>
                                  <m:begChr m:val="{"/>
                                  <m:endChr m:val="}"/>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m</m:t>
                                      </m:r>
                                    </m:e>
                                  </m:d>
                                </m:e>
                              </m:d>
                            </m:sup>
                          </m:sSubSup>
                        </m:e>
                      </m:d>
                    </m:e>
                    <m:sup>
                      <m:r>
                        <w:rPr>
                          <w:rFonts w:ascii="Cambria Math" w:hAnsi="Cambria Math" w:cs="Times New Roman"/>
                          <w:sz w:val="24"/>
                          <w:szCs w:val="24"/>
                        </w:rPr>
                        <m:t>2</m:t>
                      </m:r>
                    </m:sup>
                  </m:sSup>
                </m:sup>
              </m:sSubSup>
            </m:e>
          </m:d>
        </m:oMath>
      </m:oMathPara>
    </w:p>
    <w:p w14:paraId="33AE73DF" w14:textId="10AC0053" w:rsidR="00D628D2" w:rsidRDefault="00D628D2" w:rsidP="00D628D2">
      <w:pPr>
        <w:spacing w:after="0" w:line="360" w:lineRule="auto"/>
        <w:jc w:val="both"/>
        <w:rPr>
          <w:rFonts w:ascii="Times New Roman" w:hAnsi="Times New Roman" w:cs="Times New Roman"/>
          <w:sz w:val="24"/>
          <w:szCs w:val="24"/>
        </w:rPr>
      </w:pPr>
    </w:p>
    <w:p w14:paraId="75D0E355" w14:textId="23CF1365" w:rsidR="00C536B7" w:rsidRDefault="00D628D2" w:rsidP="00D628D2">
      <w:pPr>
        <w:spacing w:after="0" w:line="360" w:lineRule="auto"/>
        <w:jc w:val="both"/>
        <w:rPr>
          <w:rFonts w:ascii="Times New Roman" w:hAnsi="Times New Roman" w:cs="Times New Roman"/>
          <w:sz w:val="24"/>
          <w:szCs w:val="24"/>
        </w:rPr>
      </w:pPr>
      <w:r w:rsidRPr="00D628D2">
        <w:rPr>
          <w:rFonts w:ascii="Times New Roman" w:hAnsi="Times New Roman" w:cs="Times New Roman"/>
          <w:sz w:val="24"/>
          <w:szCs w:val="24"/>
        </w:rPr>
        <w:t xml:space="preserve">where </w:t>
      </w:r>
      <w:r w:rsidR="0038176E">
        <w:rPr>
          <w:rFonts w:ascii="Times New Roman" w:hAnsi="Times New Roman" w:cs="Times New Roman"/>
          <w:sz w:val="32"/>
          <w:szCs w:val="32"/>
        </w:rPr>
        <w:t xml:space="preserve"> </w:t>
      </w:r>
      <m:oMath>
        <m:sSubSup>
          <m:sSubSupPr>
            <m:ctrlPr>
              <w:rPr>
                <w:rFonts w:ascii="Cambria Math" w:hAnsi="Cambria Math" w:cs="Times New Roman"/>
                <w:i/>
                <w:sz w:val="32"/>
                <w:szCs w:val="32"/>
              </w:rPr>
            </m:ctrlPr>
          </m:sSubSupPr>
          <m:e>
            <m:acc>
              <m:accPr>
                <m:chr m:val="̄"/>
                <m:ctrlPr>
                  <w:rPr>
                    <w:rFonts w:ascii="Cambria Math" w:hAnsi="Cambria Math" w:cs="Times New Roman"/>
                    <w:i/>
                    <w:sz w:val="32"/>
                    <w:szCs w:val="32"/>
                  </w:rPr>
                </m:ctrlPr>
              </m:accPr>
              <m:e>
                <m:r>
                  <w:rPr>
                    <w:rFonts w:ascii="Cambria Math" w:hAnsi="Cambria Math" w:cs="Times New Roman"/>
                    <w:sz w:val="32"/>
                    <w:szCs w:val="32"/>
                  </w:rPr>
                  <m:t>r</m:t>
                </m:r>
              </m:e>
            </m:acc>
          </m:e>
          <m:sub>
            <m:r>
              <w:rPr>
                <w:rFonts w:ascii="Cambria Math" w:hAnsi="Cambria Math" w:cs="Times New Roman"/>
                <w:sz w:val="32"/>
                <w:szCs w:val="32"/>
              </w:rPr>
              <m:t>t</m:t>
            </m:r>
          </m:sub>
          <m:sup>
            <m:d>
              <m:dPr>
                <m:begChr m:val="{"/>
                <m:endChr m:val="}"/>
                <m:ctrlPr>
                  <w:rPr>
                    <w:rFonts w:ascii="Cambria Math" w:hAnsi="Cambria Math" w:cs="Times New Roman"/>
                    <w:i/>
                    <w:sz w:val="32"/>
                    <w:szCs w:val="32"/>
                  </w:rPr>
                </m:ctrlPr>
              </m:dPr>
              <m:e>
                <m:d>
                  <m:dPr>
                    <m:ctrlPr>
                      <w:rPr>
                        <w:rFonts w:ascii="Cambria Math" w:hAnsi="Cambria Math" w:cs="Times New Roman"/>
                        <w:i/>
                        <w:sz w:val="32"/>
                        <w:szCs w:val="32"/>
                      </w:rPr>
                    </m:ctrlPr>
                  </m:dPr>
                  <m:e>
                    <m:r>
                      <w:rPr>
                        <w:rFonts w:ascii="Cambria Math" w:hAnsi="Cambria Math" w:cs="Times New Roman"/>
                        <w:sz w:val="32"/>
                        <w:szCs w:val="32"/>
                      </w:rPr>
                      <m:t>m</m:t>
                    </m:r>
                  </m:e>
                </m:d>
              </m:e>
            </m:d>
          </m:sup>
        </m:sSubSup>
        <m:r>
          <w:rPr>
            <w:rFonts w:ascii="Cambria Math" w:hAnsi="Cambria Math" w:cs="Times New Roman"/>
            <w:sz w:val="32"/>
            <w:szCs w:val="32"/>
          </w:rPr>
          <m:t xml:space="preserve">= </m:t>
        </m:r>
        <m:d>
          <m:dPr>
            <m:ctrlPr>
              <w:rPr>
                <w:rFonts w:ascii="Cambria Math" w:hAnsi="Cambria Math" w:cs="Times New Roman"/>
                <w:i/>
                <w:sz w:val="32"/>
                <w:szCs w:val="32"/>
              </w:rPr>
            </m:ctrlPr>
          </m:dPr>
          <m:e>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m</m:t>
                </m:r>
              </m:den>
            </m:f>
          </m:e>
        </m:d>
        <m:nary>
          <m:naryPr>
            <m:chr m:val="∑"/>
            <m:limLoc m:val="subSup"/>
            <m:ctrlPr>
              <w:rPr>
                <w:rFonts w:ascii="Cambria Math" w:hAnsi="Cambria Math" w:cs="Times New Roman"/>
                <w:i/>
                <w:sz w:val="32"/>
                <w:szCs w:val="32"/>
              </w:rPr>
            </m:ctrlPr>
          </m:naryPr>
          <m:sub>
            <m:r>
              <w:rPr>
                <w:rFonts w:ascii="Cambria Math" w:hAnsi="Cambria Math" w:cs="Times New Roman"/>
                <w:sz w:val="32"/>
                <w:szCs w:val="32"/>
              </w:rPr>
              <m:t>i=0</m:t>
            </m:r>
          </m:sub>
          <m:sup>
            <m:r>
              <w:rPr>
                <w:rFonts w:ascii="Cambria Math" w:hAnsi="Cambria Math" w:cs="Times New Roman"/>
                <w:sz w:val="32"/>
                <w:szCs w:val="32"/>
              </w:rPr>
              <m:t>m-1</m:t>
            </m:r>
          </m:sup>
          <m:e>
            <m:sSub>
              <m:sSubPr>
                <m:ctrlPr>
                  <w:rPr>
                    <w:rFonts w:ascii="Cambria Math" w:hAnsi="Cambria Math" w:cs="Times New Roman"/>
                    <w:i/>
                    <w:sz w:val="32"/>
                    <w:szCs w:val="32"/>
                  </w:rPr>
                </m:ctrlPr>
              </m:sSubPr>
              <m:e>
                <m:r>
                  <w:rPr>
                    <w:rFonts w:ascii="Cambria Math" w:hAnsi="Cambria Math" w:cs="Times New Roman"/>
                    <w:sz w:val="32"/>
                    <w:szCs w:val="32"/>
                  </w:rPr>
                  <m:t>r</m:t>
                </m:r>
              </m:e>
              <m:sub>
                <m:r>
                  <w:rPr>
                    <w:rFonts w:ascii="Cambria Math" w:hAnsi="Cambria Math" w:cs="Times New Roman"/>
                    <w:sz w:val="32"/>
                    <w:szCs w:val="32"/>
                  </w:rPr>
                  <m:t>t-i</m:t>
                </m:r>
              </m:sub>
            </m:sSub>
          </m:e>
        </m:nary>
      </m:oMath>
      <w:r w:rsidR="0038176E">
        <w:rPr>
          <w:rFonts w:ascii="Times New Roman" w:eastAsiaTheme="minorEastAsia" w:hAnsi="Times New Roman" w:cs="Times New Roman"/>
          <w:sz w:val="32"/>
          <w:szCs w:val="32"/>
        </w:rPr>
        <w:t xml:space="preserve">   </w:t>
      </w:r>
      <w:r w:rsidRPr="00D628D2">
        <w:rPr>
          <w:rFonts w:ascii="Times New Roman" w:hAnsi="Times New Roman" w:cs="Times New Roman"/>
          <w:sz w:val="24"/>
          <w:szCs w:val="24"/>
        </w:rPr>
        <w:t>is the rolling mean over the same m</w:t>
      </w:r>
      <w:r>
        <w:rPr>
          <w:rFonts w:ascii="Times New Roman" w:hAnsi="Times New Roman" w:cs="Times New Roman"/>
          <w:sz w:val="24"/>
          <w:szCs w:val="24"/>
        </w:rPr>
        <w:t xml:space="preserve"> </w:t>
      </w:r>
      <w:r w:rsidRPr="00D628D2">
        <w:rPr>
          <w:rFonts w:ascii="Times New Roman" w:hAnsi="Times New Roman" w:cs="Times New Roman"/>
          <w:sz w:val="24"/>
          <w:szCs w:val="24"/>
        </w:rPr>
        <w:t>days.</w:t>
      </w:r>
      <w:r w:rsidR="0015454E" w:rsidRPr="0015454E">
        <w:t xml:space="preserve"> </w:t>
      </w:r>
      <w:r w:rsidR="0015454E" w:rsidRPr="0015454E">
        <w:rPr>
          <w:rFonts w:ascii="Times New Roman" w:hAnsi="Times New Roman" w:cs="Times New Roman"/>
          <w:sz w:val="24"/>
          <w:szCs w:val="24"/>
        </w:rPr>
        <w:t xml:space="preserve">If volatility rises around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oMath>
      <w:r w:rsidR="0015454E" w:rsidRPr="0015454E">
        <w:rPr>
          <w:rFonts w:ascii="Times New Roman" w:hAnsi="Times New Roman" w:cs="Times New Roman"/>
          <w:sz w:val="24"/>
          <w:szCs w:val="24"/>
        </w:rPr>
        <w:t xml:space="preserve"> without a corresponding tail jump in returns, that pattern often fits a noise/uncertainty shock more than a clean fundamental repricing</w:t>
      </w:r>
      <w:r w:rsidR="006515F2">
        <w:rPr>
          <w:rFonts w:ascii="Times New Roman" w:hAnsi="Times New Roman" w:cs="Times New Roman"/>
          <w:sz w:val="24"/>
          <w:szCs w:val="24"/>
        </w:rPr>
        <w:t xml:space="preserve"> </w:t>
      </w:r>
    </w:p>
    <w:p w14:paraId="766E5305" w14:textId="019F59F8" w:rsidR="00C536B7" w:rsidRDefault="00C536B7" w:rsidP="00C536B7">
      <w:pPr>
        <w:rPr>
          <w:rFonts w:ascii="Times New Roman" w:hAnsi="Times New Roman" w:cs="Times New Roman"/>
          <w:sz w:val="24"/>
          <w:szCs w:val="24"/>
        </w:rPr>
      </w:pPr>
      <w:r>
        <w:rPr>
          <w:rFonts w:ascii="Times New Roman" w:hAnsi="Times New Roman" w:cs="Times New Roman"/>
          <w:sz w:val="24"/>
          <w:szCs w:val="24"/>
        </w:rPr>
        <w:br w:type="page"/>
      </w:r>
    </w:p>
    <w:p w14:paraId="44100A68" w14:textId="2CC38F8A" w:rsidR="0015454E" w:rsidRPr="001A2B31" w:rsidRDefault="0015454E" w:rsidP="001A2B31">
      <w:pPr>
        <w:pStyle w:val="Heading1"/>
        <w:numPr>
          <w:ilvl w:val="0"/>
          <w:numId w:val="2"/>
        </w:numPr>
        <w:rPr>
          <w:b/>
          <w:bCs/>
          <w:color w:val="000000" w:themeColor="text1"/>
          <w:sz w:val="28"/>
          <w:szCs w:val="28"/>
          <w:lang w:val="en-GB"/>
        </w:rPr>
      </w:pPr>
      <w:r w:rsidRPr="001A2B31">
        <w:rPr>
          <w:b/>
          <w:bCs/>
          <w:color w:val="000000" w:themeColor="text1"/>
          <w:sz w:val="28"/>
          <w:szCs w:val="28"/>
          <w:lang w:val="en-GB"/>
        </w:rPr>
        <w:lastRenderedPageBreak/>
        <w:t>Results</w:t>
      </w:r>
    </w:p>
    <w:p w14:paraId="3932B086" w14:textId="6B5EC6C5" w:rsidR="0015454E" w:rsidRDefault="0015454E" w:rsidP="001A2B31">
      <w:pPr>
        <w:pStyle w:val="Heading2"/>
        <w:numPr>
          <w:ilvl w:val="1"/>
          <w:numId w:val="2"/>
        </w:numPr>
        <w:rPr>
          <w:b/>
          <w:bCs/>
          <w:color w:val="000000" w:themeColor="text1"/>
          <w:sz w:val="24"/>
          <w:szCs w:val="24"/>
        </w:rPr>
      </w:pPr>
      <w:r w:rsidRPr="001A2B31">
        <w:rPr>
          <w:b/>
          <w:bCs/>
          <w:color w:val="000000" w:themeColor="text1"/>
          <w:sz w:val="24"/>
          <w:szCs w:val="24"/>
        </w:rPr>
        <w:t xml:space="preserve">Price </w:t>
      </w:r>
      <w:r w:rsidR="0034271B" w:rsidRPr="001A2B31">
        <w:rPr>
          <w:b/>
          <w:bCs/>
          <w:color w:val="000000" w:themeColor="text1"/>
          <w:sz w:val="24"/>
          <w:szCs w:val="24"/>
        </w:rPr>
        <w:t>behaviour</w:t>
      </w:r>
      <w:r w:rsidRPr="001A2B31">
        <w:rPr>
          <w:b/>
          <w:bCs/>
          <w:color w:val="000000" w:themeColor="text1"/>
          <w:sz w:val="24"/>
          <w:szCs w:val="24"/>
        </w:rPr>
        <w:t xml:space="preserve"> around the event (USO)</w:t>
      </w:r>
    </w:p>
    <w:p w14:paraId="1866C1BE" w14:textId="77777777" w:rsidR="00CF5525" w:rsidRPr="00CF5525" w:rsidRDefault="00CF5525" w:rsidP="00CF5525"/>
    <w:p w14:paraId="02BA1C61" w14:textId="544CBC8E" w:rsidR="00CF5525" w:rsidRPr="00CF5525" w:rsidRDefault="00CF5525" w:rsidP="00CF5525">
      <w:r w:rsidRPr="00CF5525">
        <w:rPr>
          <w:b/>
          <w:bCs/>
        </w:rPr>
        <w:t>Figure 1.</w:t>
      </w:r>
      <w:r w:rsidRPr="00CF5525">
        <w:t xml:space="preserve"> USO price around the event window; dashed line indicates the reaction day</w:t>
      </w:r>
    </w:p>
    <w:p w14:paraId="3A87EB8B" w14:textId="22D47CB3" w:rsidR="0015454E" w:rsidRDefault="0034271B" w:rsidP="0015454E">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C0B066" wp14:editId="58272904">
            <wp:extent cx="5943600" cy="2377440"/>
            <wp:effectExtent l="0" t="0" r="0" b="0"/>
            <wp:docPr id="1303636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36543" name="Picture 13036365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7CDDBBE0" w14:textId="77777777" w:rsidR="0034271B" w:rsidRDefault="0034271B" w:rsidP="0034271B">
      <w:pPr>
        <w:spacing w:after="0" w:line="360" w:lineRule="auto"/>
        <w:jc w:val="both"/>
        <w:rPr>
          <w:rFonts w:ascii="Times New Roman" w:hAnsi="Times New Roman" w:cs="Times New Roman"/>
          <w:sz w:val="24"/>
          <w:szCs w:val="24"/>
        </w:rPr>
      </w:pPr>
      <w:r w:rsidRPr="0034271B">
        <w:rPr>
          <w:rFonts w:ascii="Times New Roman" w:hAnsi="Times New Roman" w:cs="Times New Roman"/>
          <w:sz w:val="24"/>
          <w:szCs w:val="24"/>
        </w:rPr>
        <w:t>USO rises into the reaction day and then reverses sharply, followed by a rapid rebound. The absence of a persistent level shift is consistent with a transitory adjustment rather than sustained repricing.</w:t>
      </w:r>
    </w:p>
    <w:p w14:paraId="71B0285B" w14:textId="5224BB0B" w:rsidR="0034271B" w:rsidRDefault="0034271B" w:rsidP="001A2B31">
      <w:pPr>
        <w:pStyle w:val="Heading2"/>
        <w:numPr>
          <w:ilvl w:val="1"/>
          <w:numId w:val="2"/>
        </w:numPr>
        <w:rPr>
          <w:b/>
          <w:bCs/>
          <w:color w:val="000000" w:themeColor="text1"/>
          <w:sz w:val="24"/>
          <w:szCs w:val="24"/>
        </w:rPr>
      </w:pPr>
      <w:r w:rsidRPr="001A2B31">
        <w:rPr>
          <w:b/>
          <w:bCs/>
          <w:color w:val="000000" w:themeColor="text1"/>
          <w:sz w:val="24"/>
          <w:szCs w:val="24"/>
        </w:rPr>
        <w:t xml:space="preserve"> Returns and jump bands (±2.5σ from pre-event)</w:t>
      </w:r>
    </w:p>
    <w:p w14:paraId="43E297A0" w14:textId="77777777" w:rsidR="00CF5525" w:rsidRPr="00CF5525" w:rsidRDefault="00CF5525" w:rsidP="00CF5525"/>
    <w:p w14:paraId="4761C859" w14:textId="755A72D2" w:rsidR="00CF5525" w:rsidRPr="00CF5525" w:rsidRDefault="00CF5525" w:rsidP="00CF5525">
      <w:r w:rsidRPr="00CF5525">
        <w:rPr>
          <w:b/>
          <w:bCs/>
        </w:rPr>
        <w:t>Figure 2.</w:t>
      </w:r>
      <w:r w:rsidRPr="00CF5525">
        <w:t xml:space="preserve"> USO log returns with jump </w:t>
      </w:r>
      <w:r w:rsidR="00C536B7" w:rsidRPr="00CF5525">
        <w:t>band</w:t>
      </w:r>
      <w:r w:rsidR="00C536B7">
        <w:t xml:space="preserve"> </w:t>
      </w:r>
      <w:r w:rsidR="00C536B7" w:rsidRPr="00CF5525">
        <w:t>±</w:t>
      </w:r>
      <w:r w:rsidRPr="00CF5525">
        <w:t>2.5</w:t>
      </w:r>
      <w:r w:rsidR="00C536B7" w:rsidRPr="00CF5525">
        <w:t>σ</w:t>
      </w:r>
      <w:r w:rsidR="00C536B7">
        <w:t xml:space="preserve"> </w:t>
      </w:r>
      <w:r w:rsidR="00C536B7" w:rsidRPr="00CF5525">
        <w:t>computed</w:t>
      </w:r>
      <w:r w:rsidRPr="00CF5525">
        <w:t xml:space="preserve"> from the pre-event estimation window</w:t>
      </w:r>
    </w:p>
    <w:p w14:paraId="1DDB342B" w14:textId="5A78EA59" w:rsidR="0034271B" w:rsidRDefault="0034271B" w:rsidP="0034271B">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C33311" wp14:editId="3EE451E9">
            <wp:extent cx="5943600" cy="2377440"/>
            <wp:effectExtent l="0" t="0" r="0" b="9525"/>
            <wp:docPr id="1892784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84964" name="Picture 18927849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10DE35B7" w14:textId="35FDACF1" w:rsidR="0034271B" w:rsidRDefault="0034271B" w:rsidP="0034271B">
      <w:pPr>
        <w:spacing w:after="0" w:line="360" w:lineRule="auto"/>
        <w:jc w:val="both"/>
        <w:rPr>
          <w:rFonts w:ascii="Times New Roman" w:hAnsi="Times New Roman" w:cs="Times New Roman"/>
          <w:sz w:val="24"/>
          <w:szCs w:val="24"/>
        </w:rPr>
      </w:pPr>
      <w:r w:rsidRPr="0034271B">
        <w:rPr>
          <w:rFonts w:ascii="Times New Roman" w:hAnsi="Times New Roman" w:cs="Times New Roman"/>
          <w:sz w:val="24"/>
          <w:szCs w:val="24"/>
        </w:rPr>
        <w:lastRenderedPageBreak/>
        <w:t>The reaction-day return is positive but remains within the ±2.5σ band derived from pre-event returns. Under the adopted rule, the event does not meet the threshold for a statistically unusual jump.</w:t>
      </w:r>
    </w:p>
    <w:p w14:paraId="3DBD7623" w14:textId="74F17329" w:rsidR="0034271B" w:rsidRDefault="0034271B" w:rsidP="001A2B31">
      <w:pPr>
        <w:pStyle w:val="Heading2"/>
        <w:numPr>
          <w:ilvl w:val="1"/>
          <w:numId w:val="2"/>
        </w:numPr>
        <w:rPr>
          <w:b/>
          <w:bCs/>
          <w:color w:val="000000" w:themeColor="text1"/>
          <w:sz w:val="24"/>
          <w:szCs w:val="24"/>
        </w:rPr>
      </w:pPr>
      <w:r w:rsidRPr="001A2B31">
        <w:rPr>
          <w:b/>
          <w:bCs/>
          <w:color w:val="000000" w:themeColor="text1"/>
          <w:sz w:val="24"/>
          <w:szCs w:val="24"/>
        </w:rPr>
        <w:t>Rolling volatility around the even</w:t>
      </w:r>
      <w:r w:rsidR="001E7E92">
        <w:rPr>
          <w:b/>
          <w:bCs/>
          <w:color w:val="000000" w:themeColor="text1"/>
          <w:sz w:val="24"/>
          <w:szCs w:val="24"/>
        </w:rPr>
        <w:t>t</w:t>
      </w:r>
    </w:p>
    <w:p w14:paraId="21C70E63" w14:textId="77777777" w:rsidR="00CF5525" w:rsidRPr="00CF5525" w:rsidRDefault="00CF5525" w:rsidP="00CF5525"/>
    <w:p w14:paraId="2B59CD28" w14:textId="54B7A4EF" w:rsidR="00CF5525" w:rsidRPr="00CF5525" w:rsidRDefault="00CF5525" w:rsidP="00CF5525">
      <w:r w:rsidRPr="00CF5525">
        <w:rPr>
          <w:b/>
          <w:bCs/>
        </w:rPr>
        <w:t>Figure 3.</w:t>
      </w:r>
      <w:r w:rsidRPr="00CF5525">
        <w:t xml:space="preserve"> USO rolling 10-day volatility around the event window; dashed line indicates the reaction day</w:t>
      </w:r>
    </w:p>
    <w:p w14:paraId="0CD60EBB" w14:textId="11940E87" w:rsidR="0034271B" w:rsidRDefault="0034271B" w:rsidP="0034271B">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FE12E7" wp14:editId="2107AF7F">
            <wp:extent cx="5943600" cy="2377440"/>
            <wp:effectExtent l="0" t="0" r="0" b="0"/>
            <wp:docPr id="1890993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93221" name="Picture 18909932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4445052F" w14:textId="5B20D768" w:rsidR="0034271B" w:rsidRDefault="0034271B" w:rsidP="0034271B">
      <w:pPr>
        <w:spacing w:after="0" w:line="360" w:lineRule="auto"/>
        <w:jc w:val="both"/>
        <w:rPr>
          <w:rFonts w:ascii="Times New Roman" w:hAnsi="Times New Roman" w:cs="Times New Roman"/>
          <w:sz w:val="24"/>
          <w:szCs w:val="24"/>
        </w:rPr>
      </w:pPr>
      <w:r w:rsidRPr="0034271B">
        <w:rPr>
          <w:rFonts w:ascii="Times New Roman" w:hAnsi="Times New Roman" w:cs="Times New Roman"/>
          <w:sz w:val="24"/>
          <w:szCs w:val="24"/>
        </w:rPr>
        <w:t>Rolling volatility is elevated around the event window and does not revert immediately after the reaction day. This indicates a stronger uncertainty response than a single large return shock.</w:t>
      </w:r>
    </w:p>
    <w:p w14:paraId="492667D3" w14:textId="6A9EAD47" w:rsidR="00CA63BB" w:rsidRDefault="0034271B" w:rsidP="0034271B">
      <w:pPr>
        <w:spacing w:after="0" w:line="360" w:lineRule="auto"/>
        <w:jc w:val="both"/>
        <w:rPr>
          <w:rFonts w:ascii="Times New Roman" w:hAnsi="Times New Roman" w:cs="Times New Roman"/>
          <w:sz w:val="24"/>
          <w:szCs w:val="24"/>
        </w:rPr>
      </w:pPr>
      <w:r w:rsidRPr="0034271B">
        <w:rPr>
          <w:rFonts w:ascii="Times New Roman" w:hAnsi="Times New Roman" w:cs="Times New Roman"/>
          <w:sz w:val="24"/>
          <w:szCs w:val="24"/>
        </w:rPr>
        <w:t>Overall, the event appears to have increased uncertainty and short-horizon reversals more than it produced a discontinuous repricing.</w:t>
      </w:r>
    </w:p>
    <w:p w14:paraId="6E03C0C8" w14:textId="114A3F98" w:rsidR="0034271B" w:rsidRPr="001A2B31" w:rsidRDefault="00280BEC" w:rsidP="001A2B31">
      <w:pPr>
        <w:pStyle w:val="Heading1"/>
        <w:numPr>
          <w:ilvl w:val="0"/>
          <w:numId w:val="2"/>
        </w:numPr>
        <w:rPr>
          <w:b/>
          <w:bCs/>
          <w:color w:val="000000" w:themeColor="text1"/>
          <w:sz w:val="28"/>
          <w:szCs w:val="28"/>
          <w:lang w:val="en-GB"/>
        </w:rPr>
      </w:pPr>
      <w:r w:rsidRPr="001A2B31">
        <w:rPr>
          <w:b/>
          <w:bCs/>
          <w:color w:val="000000" w:themeColor="text1"/>
          <w:sz w:val="28"/>
          <w:szCs w:val="28"/>
          <w:lang w:val="en-GB"/>
        </w:rPr>
        <w:t xml:space="preserve">Conclusion </w:t>
      </w:r>
    </w:p>
    <w:p w14:paraId="20991FF7" w14:textId="31030991" w:rsidR="00C536B7" w:rsidRDefault="00280BEC" w:rsidP="0034271B">
      <w:pPr>
        <w:spacing w:after="0" w:line="360" w:lineRule="auto"/>
        <w:jc w:val="both"/>
        <w:rPr>
          <w:rFonts w:ascii="Times New Roman" w:hAnsi="Times New Roman" w:cs="Times New Roman"/>
          <w:sz w:val="24"/>
          <w:szCs w:val="24"/>
        </w:rPr>
      </w:pPr>
      <w:r w:rsidRPr="00280BEC">
        <w:rPr>
          <w:rFonts w:ascii="Times New Roman" w:hAnsi="Times New Roman" w:cs="Times New Roman"/>
          <w:sz w:val="24"/>
          <w:szCs w:val="24"/>
        </w:rPr>
        <w:t>The USO evidence indicates an uncertainty-dominant response rather than a discontinuous jump. The reaction-day return remains within the ±2.5σ pre-event band, and the price path shows a rapid reversal and rebound, which is consistent with short-horizon reassessment rather than a persistent repricing. The concurrent elevation in rolling volatility suggests that the headline affected perceived uncertainty more than it altered near-term supply expectations. The main implication is that when the link between geopolitical news and near-term physical flows is ambiguous, markets tend to reprice uncertainty before they reprice levels.</w:t>
      </w:r>
    </w:p>
    <w:p w14:paraId="62F403B2" w14:textId="08B52E5F" w:rsidR="00F823C5" w:rsidRDefault="00C536B7" w:rsidP="00C536B7">
      <w:pPr>
        <w:rPr>
          <w:rFonts w:ascii="Times New Roman" w:hAnsi="Times New Roman" w:cs="Times New Roman"/>
          <w:sz w:val="24"/>
          <w:szCs w:val="24"/>
        </w:rPr>
      </w:pPr>
      <w:r>
        <w:rPr>
          <w:rFonts w:ascii="Times New Roman" w:hAnsi="Times New Roman" w:cs="Times New Roman"/>
          <w:sz w:val="24"/>
          <w:szCs w:val="24"/>
        </w:rPr>
        <w:br w:type="page"/>
      </w:r>
    </w:p>
    <w:p w14:paraId="76C1B84B" w14:textId="646A7414" w:rsidR="00CF5525" w:rsidRPr="00CF5525" w:rsidRDefault="00CF5525" w:rsidP="00F823C5">
      <w:pPr>
        <w:pStyle w:val="Heading1"/>
        <w:ind w:left="720"/>
        <w:rPr>
          <w:b/>
          <w:bCs/>
          <w:color w:val="000000" w:themeColor="text1"/>
          <w:sz w:val="28"/>
          <w:szCs w:val="28"/>
          <w:lang w:val="en-GB"/>
        </w:rPr>
      </w:pPr>
      <w:r w:rsidRPr="00CF5525">
        <w:rPr>
          <w:b/>
          <w:bCs/>
          <w:color w:val="000000" w:themeColor="text1"/>
          <w:sz w:val="28"/>
          <w:szCs w:val="28"/>
          <w:lang w:val="en-GB"/>
        </w:rPr>
        <w:lastRenderedPageBreak/>
        <w:t>References</w:t>
      </w:r>
    </w:p>
    <w:p w14:paraId="3C5878DF" w14:textId="41939316" w:rsidR="006515F2" w:rsidRPr="006515F2" w:rsidRDefault="00CF5525" w:rsidP="006515F2">
      <w:pPr>
        <w:numPr>
          <w:ilvl w:val="0"/>
          <w:numId w:val="3"/>
        </w:numPr>
        <w:spacing w:after="0" w:line="360" w:lineRule="auto"/>
        <w:jc w:val="both"/>
        <w:rPr>
          <w:rFonts w:ascii="Times New Roman" w:hAnsi="Times New Roman" w:cs="Times New Roman"/>
          <w:sz w:val="24"/>
          <w:szCs w:val="24"/>
        </w:rPr>
      </w:pPr>
      <w:r w:rsidRPr="00CF5525">
        <w:rPr>
          <w:rFonts w:ascii="Times New Roman" w:hAnsi="Times New Roman" w:cs="Times New Roman"/>
          <w:sz w:val="24"/>
          <w:szCs w:val="24"/>
        </w:rPr>
        <w:t>Reuters (January 2026). Reporting on the capture of Venezuelan President Nicolás Maduro and subsequent oil-market reaction.</w:t>
      </w:r>
      <w:r w:rsidR="001E7E92" w:rsidRPr="001E7E92">
        <w:t xml:space="preserve"> </w:t>
      </w:r>
      <w:hyperlink r:id="rId9" w:history="1">
        <w:r w:rsidR="006515F2" w:rsidRPr="00692DFC">
          <w:rPr>
            <w:rStyle w:val="Hyperlink"/>
            <w:rFonts w:ascii="Times New Roman" w:hAnsi="Times New Roman" w:cs="Times New Roman"/>
            <w:sz w:val="24"/>
            <w:szCs w:val="24"/>
          </w:rPr>
          <w:t>https://www.reuters.com/world/americas/view-investors-economists-react-us-capture-venezuelas-maduro-2026-01-03/</w:t>
        </w:r>
      </w:hyperlink>
      <w:r w:rsidR="001E7E92" w:rsidRPr="006515F2">
        <w:rPr>
          <w:rFonts w:ascii="Times New Roman" w:hAnsi="Times New Roman" w:cs="Times New Roman"/>
          <w:sz w:val="24"/>
          <w:szCs w:val="24"/>
        </w:rPr>
        <w:tab/>
      </w:r>
      <w:r w:rsidR="006515F2" w:rsidRPr="006515F2">
        <w:rPr>
          <w:rFonts w:ascii="Times New Roman" w:hAnsi="Times New Roman" w:cs="Times New Roman"/>
          <w:sz w:val="24"/>
          <w:szCs w:val="24"/>
        </w:rPr>
        <w:t>(Accessed: 11 January 2026).</w:t>
      </w:r>
    </w:p>
    <w:p w14:paraId="48D2A200" w14:textId="64EE5E93" w:rsidR="006515F2" w:rsidRPr="006515F2" w:rsidRDefault="00CF5525" w:rsidP="006515F2">
      <w:pPr>
        <w:numPr>
          <w:ilvl w:val="0"/>
          <w:numId w:val="3"/>
        </w:numPr>
        <w:spacing w:after="0" w:line="360" w:lineRule="auto"/>
        <w:jc w:val="both"/>
        <w:rPr>
          <w:rFonts w:ascii="Times New Roman" w:hAnsi="Times New Roman" w:cs="Times New Roman"/>
          <w:sz w:val="24"/>
          <w:szCs w:val="24"/>
        </w:rPr>
      </w:pPr>
      <w:r w:rsidRPr="00CF5525">
        <w:rPr>
          <w:rFonts w:ascii="Times New Roman" w:hAnsi="Times New Roman" w:cs="Times New Roman"/>
          <w:sz w:val="24"/>
          <w:szCs w:val="24"/>
        </w:rPr>
        <w:t>Reuters (January 2026). Reporting on discussions regarding Venezuelan oil flows and market supply expectations.</w:t>
      </w:r>
      <w:r w:rsidR="001E7E92" w:rsidRPr="001E7E92">
        <w:t xml:space="preserve"> </w:t>
      </w:r>
      <w:hyperlink r:id="rId10" w:history="1">
        <w:r w:rsidR="000308AA" w:rsidRPr="006A3BB4">
          <w:rPr>
            <w:rStyle w:val="Hyperlink"/>
          </w:rPr>
          <w:t>https://www.reuters.com/business/energy/venezuela-us-talks-export-venezuelan-oil-us-sources-say-2026-01-06/</w:t>
        </w:r>
      </w:hyperlink>
      <w:r w:rsidR="000308AA" w:rsidRPr="000308AA">
        <w:t xml:space="preserve"> </w:t>
      </w:r>
      <w:r w:rsidR="006515F2" w:rsidRPr="00CF5525">
        <w:rPr>
          <w:rFonts w:ascii="Times New Roman" w:hAnsi="Times New Roman" w:cs="Times New Roman"/>
          <w:sz w:val="24"/>
          <w:szCs w:val="24"/>
        </w:rPr>
        <w:t>(Accessed: 11 January 2026).</w:t>
      </w:r>
    </w:p>
    <w:p w14:paraId="7E6EFF8D" w14:textId="583EF6F0" w:rsidR="00CF5525" w:rsidRPr="00CF5525" w:rsidRDefault="00CF5525" w:rsidP="00CF5525">
      <w:pPr>
        <w:numPr>
          <w:ilvl w:val="0"/>
          <w:numId w:val="3"/>
        </w:numPr>
        <w:spacing w:after="0" w:line="360" w:lineRule="auto"/>
        <w:jc w:val="both"/>
        <w:rPr>
          <w:rFonts w:ascii="Times New Roman" w:hAnsi="Times New Roman" w:cs="Times New Roman"/>
          <w:sz w:val="24"/>
          <w:szCs w:val="24"/>
        </w:rPr>
      </w:pPr>
      <w:r w:rsidRPr="00CF5525">
        <w:rPr>
          <w:rFonts w:ascii="Times New Roman" w:hAnsi="Times New Roman" w:cs="Times New Roman"/>
          <w:sz w:val="24"/>
          <w:szCs w:val="24"/>
        </w:rPr>
        <w:t>USCF Investments. United States Oil Fund (USO): fund objective and methodology.</w:t>
      </w:r>
      <w:r w:rsidR="006515F2" w:rsidRPr="006515F2">
        <w:t xml:space="preserve"> </w:t>
      </w:r>
      <w:hyperlink r:id="rId11" w:history="1">
        <w:r w:rsidR="006515F2" w:rsidRPr="006A3BB4">
          <w:rPr>
            <w:rStyle w:val="Hyperlink"/>
            <w:rFonts w:ascii="Times New Roman" w:hAnsi="Times New Roman" w:cs="Times New Roman"/>
            <w:sz w:val="24"/>
            <w:szCs w:val="24"/>
          </w:rPr>
          <w:t>https://www.uscfinvestments.co</w:t>
        </w:r>
        <w:r w:rsidR="006515F2" w:rsidRPr="006A3BB4">
          <w:rPr>
            <w:rStyle w:val="Hyperlink"/>
            <w:rFonts w:ascii="Times New Roman" w:hAnsi="Times New Roman" w:cs="Times New Roman"/>
            <w:sz w:val="24"/>
            <w:szCs w:val="24"/>
          </w:rPr>
          <w:t>m</w:t>
        </w:r>
        <w:r w:rsidR="006515F2" w:rsidRPr="006A3BB4">
          <w:rPr>
            <w:rStyle w:val="Hyperlink"/>
            <w:rFonts w:ascii="Times New Roman" w:hAnsi="Times New Roman" w:cs="Times New Roman"/>
            <w:sz w:val="24"/>
            <w:szCs w:val="24"/>
          </w:rPr>
          <w:t>/uso</w:t>
        </w:r>
      </w:hyperlink>
      <w:r w:rsidR="006515F2">
        <w:rPr>
          <w:rFonts w:ascii="Times New Roman" w:hAnsi="Times New Roman" w:cs="Times New Roman"/>
          <w:sz w:val="24"/>
          <w:szCs w:val="24"/>
        </w:rPr>
        <w:tab/>
      </w:r>
    </w:p>
    <w:p w14:paraId="18B75C76" w14:textId="7115DDA7" w:rsidR="00CF5525" w:rsidRPr="00CF5525" w:rsidRDefault="00CF5525" w:rsidP="00CF5525">
      <w:pPr>
        <w:numPr>
          <w:ilvl w:val="0"/>
          <w:numId w:val="3"/>
        </w:numPr>
        <w:spacing w:after="0" w:line="360" w:lineRule="auto"/>
        <w:jc w:val="both"/>
        <w:rPr>
          <w:rFonts w:ascii="Times New Roman" w:hAnsi="Times New Roman" w:cs="Times New Roman"/>
          <w:sz w:val="24"/>
          <w:szCs w:val="24"/>
        </w:rPr>
      </w:pPr>
      <w:r w:rsidRPr="00CF5525">
        <w:rPr>
          <w:rFonts w:ascii="Times New Roman" w:hAnsi="Times New Roman" w:cs="Times New Roman"/>
          <w:sz w:val="24"/>
          <w:szCs w:val="24"/>
        </w:rPr>
        <w:t xml:space="preserve">Stooq (n.d.) </w:t>
      </w:r>
      <w:r w:rsidRPr="00CF5525">
        <w:rPr>
          <w:rFonts w:ascii="Times New Roman" w:hAnsi="Times New Roman" w:cs="Times New Roman"/>
          <w:i/>
          <w:iCs/>
          <w:sz w:val="24"/>
          <w:szCs w:val="24"/>
        </w:rPr>
        <w:t>Historical data</w:t>
      </w:r>
      <w:r>
        <w:rPr>
          <w:rFonts w:ascii="Times New Roman" w:hAnsi="Times New Roman" w:cs="Times New Roman"/>
          <w:i/>
          <w:iCs/>
          <w:sz w:val="24"/>
          <w:szCs w:val="24"/>
        </w:rPr>
        <w:t xml:space="preserve"> </w:t>
      </w:r>
      <w:r w:rsidRPr="00CF5525">
        <w:rPr>
          <w:rFonts w:ascii="Times New Roman" w:hAnsi="Times New Roman" w:cs="Times New Roman"/>
          <w:i/>
          <w:iCs/>
          <w:sz w:val="24"/>
          <w:szCs w:val="24"/>
        </w:rPr>
        <w:t>download for USO</w:t>
      </w:r>
      <w:r w:rsidRPr="00CF5525">
        <w:rPr>
          <w:rFonts w:ascii="Times New Roman" w:hAnsi="Times New Roman" w:cs="Times New Roman"/>
          <w:sz w:val="24"/>
          <w:szCs w:val="24"/>
        </w:rPr>
        <w:t xml:space="preserve">.US. Available at: </w:t>
      </w:r>
      <w:hyperlink r:id="rId12" w:history="1">
        <w:r w:rsidRPr="005C2107">
          <w:rPr>
            <w:rStyle w:val="Hyperlink"/>
            <w:rFonts w:ascii="Times New Roman" w:hAnsi="Times New Roman" w:cs="Times New Roman"/>
            <w:sz w:val="24"/>
            <w:szCs w:val="24"/>
          </w:rPr>
          <w:t>https://stooq.com/q/d/l/?s=uso.us&amp;i=</w:t>
        </w:r>
      </w:hyperlink>
      <w:r w:rsidRPr="00CF5525">
        <w:rPr>
          <w:rFonts w:ascii="Times New Roman" w:hAnsi="Times New Roman" w:cs="Times New Roman"/>
          <w:sz w:val="24"/>
          <w:szCs w:val="24"/>
        </w:rPr>
        <w:t xml:space="preserve">d </w:t>
      </w:r>
      <w:bookmarkStart w:id="0" w:name="_Hlk219061409"/>
      <w:r w:rsidRPr="00CF5525">
        <w:rPr>
          <w:rFonts w:ascii="Times New Roman" w:hAnsi="Times New Roman" w:cs="Times New Roman"/>
          <w:sz w:val="24"/>
          <w:szCs w:val="24"/>
        </w:rPr>
        <w:t>(Accessed: 11 January 2026).</w:t>
      </w:r>
      <w:bookmarkEnd w:id="0"/>
    </w:p>
    <w:p w14:paraId="7AF0D46D" w14:textId="77777777" w:rsidR="00F65CD6" w:rsidRPr="00F65CD6" w:rsidRDefault="00F65CD6" w:rsidP="00F65CD6">
      <w:pPr>
        <w:spacing w:line="360" w:lineRule="auto"/>
        <w:rPr>
          <w:rFonts w:ascii="Times New Roman" w:hAnsi="Times New Roman" w:cs="Times New Roman"/>
          <w:sz w:val="24"/>
          <w:szCs w:val="24"/>
          <w:lang w:val="en-GB"/>
        </w:rPr>
      </w:pPr>
    </w:p>
    <w:sectPr w:rsidR="00F65CD6" w:rsidRPr="00F65C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870AE"/>
    <w:multiLevelType w:val="multilevel"/>
    <w:tmpl w:val="3406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04CF4"/>
    <w:multiLevelType w:val="multilevel"/>
    <w:tmpl w:val="B3CE6D94"/>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FBB7ADA"/>
    <w:multiLevelType w:val="hybridMultilevel"/>
    <w:tmpl w:val="3990A766"/>
    <w:lvl w:ilvl="0" w:tplc="97E23BFA">
      <w:start w:val="1"/>
      <w:numFmt w:val="decimal"/>
      <w:lvlText w:val="%1."/>
      <w:lvlJc w:val="left"/>
      <w:pPr>
        <w:ind w:left="720" w:hanging="360"/>
      </w:pPr>
      <w:rPr>
        <w:rFonts w:ascii="Times New Roman" w:eastAsiaTheme="minorHAnsi" w:hAnsi="Times New Roman" w:cs="Times New Roman" w:hint="default"/>
        <w:b/>
        <w:color w:val="auto"/>
        <w:sz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73150043">
    <w:abstractNumId w:val="2"/>
  </w:num>
  <w:num w:numId="2" w16cid:durableId="833253832">
    <w:abstractNumId w:val="1"/>
  </w:num>
  <w:num w:numId="3" w16cid:durableId="613899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CD6"/>
    <w:rsid w:val="00012C20"/>
    <w:rsid w:val="000308AA"/>
    <w:rsid w:val="000840E5"/>
    <w:rsid w:val="00090C41"/>
    <w:rsid w:val="00117474"/>
    <w:rsid w:val="00121D10"/>
    <w:rsid w:val="0015454E"/>
    <w:rsid w:val="001A2B31"/>
    <w:rsid w:val="001E7E92"/>
    <w:rsid w:val="00202F5B"/>
    <w:rsid w:val="00280BEC"/>
    <w:rsid w:val="002A5894"/>
    <w:rsid w:val="0034271B"/>
    <w:rsid w:val="0038176E"/>
    <w:rsid w:val="005F1D18"/>
    <w:rsid w:val="006515F2"/>
    <w:rsid w:val="00696709"/>
    <w:rsid w:val="00767233"/>
    <w:rsid w:val="008C670A"/>
    <w:rsid w:val="00C224DA"/>
    <w:rsid w:val="00C536B7"/>
    <w:rsid w:val="00CA63BB"/>
    <w:rsid w:val="00CF5525"/>
    <w:rsid w:val="00D01764"/>
    <w:rsid w:val="00D628D2"/>
    <w:rsid w:val="00E91D4B"/>
    <w:rsid w:val="00F60C5B"/>
    <w:rsid w:val="00F65CD6"/>
    <w:rsid w:val="00F823C5"/>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60399"/>
  <w15:chartTrackingRefBased/>
  <w15:docId w15:val="{63A78E6D-DF7E-40B6-9D2E-7B1BA324E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C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5C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C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C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C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5C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C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C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C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D6"/>
    <w:rPr>
      <w:rFonts w:eastAsiaTheme="majorEastAsia" w:cstheme="majorBidi"/>
      <w:color w:val="272727" w:themeColor="text1" w:themeTint="D8"/>
    </w:rPr>
  </w:style>
  <w:style w:type="paragraph" w:styleId="Title">
    <w:name w:val="Title"/>
    <w:basedOn w:val="Normal"/>
    <w:next w:val="Normal"/>
    <w:link w:val="TitleChar"/>
    <w:uiPriority w:val="10"/>
    <w:qFormat/>
    <w:rsid w:val="00F65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D6"/>
    <w:pPr>
      <w:spacing w:before="160"/>
      <w:jc w:val="center"/>
    </w:pPr>
    <w:rPr>
      <w:i/>
      <w:iCs/>
      <w:color w:val="404040" w:themeColor="text1" w:themeTint="BF"/>
    </w:rPr>
  </w:style>
  <w:style w:type="character" w:customStyle="1" w:styleId="QuoteChar">
    <w:name w:val="Quote Char"/>
    <w:basedOn w:val="DefaultParagraphFont"/>
    <w:link w:val="Quote"/>
    <w:uiPriority w:val="29"/>
    <w:rsid w:val="00F65CD6"/>
    <w:rPr>
      <w:i/>
      <w:iCs/>
      <w:color w:val="404040" w:themeColor="text1" w:themeTint="BF"/>
    </w:rPr>
  </w:style>
  <w:style w:type="paragraph" w:styleId="ListParagraph">
    <w:name w:val="List Paragraph"/>
    <w:basedOn w:val="Normal"/>
    <w:uiPriority w:val="34"/>
    <w:qFormat/>
    <w:rsid w:val="00F65CD6"/>
    <w:pPr>
      <w:ind w:left="720"/>
      <w:contextualSpacing/>
    </w:pPr>
  </w:style>
  <w:style w:type="character" w:styleId="IntenseEmphasis">
    <w:name w:val="Intense Emphasis"/>
    <w:basedOn w:val="DefaultParagraphFont"/>
    <w:uiPriority w:val="21"/>
    <w:qFormat/>
    <w:rsid w:val="00F65CD6"/>
    <w:rPr>
      <w:i/>
      <w:iCs/>
      <w:color w:val="2F5496" w:themeColor="accent1" w:themeShade="BF"/>
    </w:rPr>
  </w:style>
  <w:style w:type="paragraph" w:styleId="IntenseQuote">
    <w:name w:val="Intense Quote"/>
    <w:basedOn w:val="Normal"/>
    <w:next w:val="Normal"/>
    <w:link w:val="IntenseQuoteChar"/>
    <w:uiPriority w:val="30"/>
    <w:qFormat/>
    <w:rsid w:val="00F65C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CD6"/>
    <w:rPr>
      <w:i/>
      <w:iCs/>
      <w:color w:val="2F5496" w:themeColor="accent1" w:themeShade="BF"/>
    </w:rPr>
  </w:style>
  <w:style w:type="character" w:styleId="IntenseReference">
    <w:name w:val="Intense Reference"/>
    <w:basedOn w:val="DefaultParagraphFont"/>
    <w:uiPriority w:val="32"/>
    <w:qFormat/>
    <w:rsid w:val="00F65CD6"/>
    <w:rPr>
      <w:b/>
      <w:bCs/>
      <w:smallCaps/>
      <w:color w:val="2F5496" w:themeColor="accent1" w:themeShade="BF"/>
      <w:spacing w:val="5"/>
    </w:rPr>
  </w:style>
  <w:style w:type="character" w:styleId="PlaceholderText">
    <w:name w:val="Placeholder Text"/>
    <w:basedOn w:val="DefaultParagraphFont"/>
    <w:uiPriority w:val="99"/>
    <w:semiHidden/>
    <w:rsid w:val="00D628D2"/>
    <w:rPr>
      <w:color w:val="666666"/>
    </w:rPr>
  </w:style>
  <w:style w:type="character" w:styleId="Hyperlink">
    <w:name w:val="Hyperlink"/>
    <w:basedOn w:val="DefaultParagraphFont"/>
    <w:uiPriority w:val="99"/>
    <w:unhideWhenUsed/>
    <w:rsid w:val="00CF5525"/>
    <w:rPr>
      <w:color w:val="0563C1" w:themeColor="hyperlink"/>
      <w:u w:val="single"/>
    </w:rPr>
  </w:style>
  <w:style w:type="character" w:styleId="UnresolvedMention">
    <w:name w:val="Unresolved Mention"/>
    <w:basedOn w:val="DefaultParagraphFont"/>
    <w:uiPriority w:val="99"/>
    <w:semiHidden/>
    <w:unhideWhenUsed/>
    <w:rsid w:val="00CF5525"/>
    <w:rPr>
      <w:color w:val="605E5C"/>
      <w:shd w:val="clear" w:color="auto" w:fill="E1DFDD"/>
    </w:rPr>
  </w:style>
  <w:style w:type="character" w:styleId="FollowedHyperlink">
    <w:name w:val="FollowedHyperlink"/>
    <w:basedOn w:val="DefaultParagraphFont"/>
    <w:uiPriority w:val="99"/>
    <w:semiHidden/>
    <w:unhideWhenUsed/>
    <w:rsid w:val="00CF55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stooq.com/q/d/l/?s=uso.us&amp;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uscfinvestments.com/uso" TargetMode="External"/><Relationship Id="rId5" Type="http://schemas.openxmlformats.org/officeDocument/2006/relationships/webSettings" Target="webSettings.xml"/><Relationship Id="rId10" Type="http://schemas.openxmlformats.org/officeDocument/2006/relationships/hyperlink" Target="https://www.reuters.com/business/energy/venezuela-us-talks-export-venezuelan-oil-us-sources-say-2026-01-06/" TargetMode="External"/><Relationship Id="rId4" Type="http://schemas.openxmlformats.org/officeDocument/2006/relationships/settings" Target="settings.xml"/><Relationship Id="rId9" Type="http://schemas.openxmlformats.org/officeDocument/2006/relationships/hyperlink" Target="https://www.reuters.com/world/americas/view-investors-economists-react-us-capture-venezuelas-maduro-2026-01-0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9C6BF-FEE6-4E60-B3A7-5A0F75A27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7</Pages>
  <Words>1477</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TEMBO</dc:creator>
  <cp:keywords/>
  <dc:description/>
  <cp:lastModifiedBy>MATTHEW TEMBO</cp:lastModifiedBy>
  <cp:revision>8</cp:revision>
  <cp:lastPrinted>2026-01-11T20:35:00Z</cp:lastPrinted>
  <dcterms:created xsi:type="dcterms:W3CDTF">2026-01-11T16:48:00Z</dcterms:created>
  <dcterms:modified xsi:type="dcterms:W3CDTF">2026-01-11T20:37:00Z</dcterms:modified>
</cp:coreProperties>
</file>