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E-Learning Software</w:t>
      </w:r>
    </w:p>
    <w:p/>
    <w:p>
      <w:r>
        <w:t>Bobaes Edu-Excellence schools strive to ensure pupils/students learning with the use of digital curriculum and collaboration tools such as Brainfield software.</w:t>
      </w:r>
    </w:p>
    <w:p/>
    <w:p>
      <w:r>
        <w:t>The changing landscape of the world’s information to digital form will require today’s pupils/students to have a different set of skills than what was required just a decade ago. We equip our children not just the three R’s but also with 21st century skills of problem-solving, critical thinking, communication and technological literacy.</w:t>
      </w:r>
    </w:p>
    <w:p/>
    <w:p>
      <w:r>
        <w:t>Bobaes Edu-Excellence schools want to ensure children develop the skills and knowledge necessary to responsibly navigate the emerging modern world. This is done by incorporating the use of technological devices with traditional classroom studies. The use of technology increases retention rates because children are excited about their discoveries and are actively engaged in their lessons in a way they could than without the technological devices.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