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00C21" w14:textId="77777777" w:rsidR="00AC34B0" w:rsidRDefault="00000000">
      <w:pPr>
        <w:jc w:val="center"/>
        <w:rPr>
          <w:rFonts w:hint="eastAsia"/>
        </w:rPr>
      </w:pPr>
      <w:r>
        <w:rPr>
          <w:b/>
          <w:color w:val="57068C"/>
          <w:sz w:val="28"/>
        </w:rPr>
        <w:t>EMERGING TECHNOLOGIES</w:t>
      </w:r>
    </w:p>
    <w:p w14:paraId="60AE43B3" w14:textId="77777777" w:rsidR="00AC34B0" w:rsidRDefault="00000000">
      <w:pPr>
        <w:pStyle w:val="Title"/>
        <w:jc w:val="center"/>
      </w:pPr>
      <w:r>
        <w:t>Specialist Agent Record Template</w:t>
      </w:r>
    </w:p>
    <w:p w14:paraId="186811A8" w14:textId="77777777" w:rsidR="00AC34B0" w:rsidRDefault="00000000">
      <w:pPr>
        <w:jc w:val="center"/>
        <w:rPr>
          <w:rFonts w:hint="eastAsia"/>
        </w:rPr>
      </w:pPr>
      <w:r>
        <w:t>MASY1-GC 1800 | Assignments 2-8</w:t>
      </w:r>
    </w:p>
    <w:tbl>
      <w:tblPr>
        <w:tblW w:w="0" w:type="auto"/>
        <w:tblLook w:val="04A0" w:firstRow="1" w:lastRow="0" w:firstColumn="1" w:lastColumn="0" w:noHBand="0" w:noVBand="1"/>
      </w:tblPr>
      <w:tblGrid>
        <w:gridCol w:w="10454"/>
      </w:tblGrid>
      <w:tr w:rsidR="00AC34B0" w14:paraId="4598980F" w14:textId="77777777">
        <w:trPr>
          <w:cantSplit/>
        </w:trPr>
        <w:tc>
          <w:tcPr>
            <w:tcW w:w="10454" w:type="dxa"/>
            <w:shd w:val="clear" w:color="auto" w:fill="F3EDF7"/>
            <w:tcMar>
              <w:top w:w="90" w:type="dxa"/>
              <w:left w:w="120" w:type="dxa"/>
              <w:bottom w:w="90" w:type="dxa"/>
              <w:right w:w="120" w:type="dxa"/>
            </w:tcMar>
          </w:tcPr>
          <w:p w14:paraId="6B7A1586" w14:textId="77777777" w:rsidR="00AC34B0" w:rsidRDefault="00000000">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0A0E6453" w14:textId="77777777" w:rsidR="00AC34B0" w:rsidRDefault="00000000">
      <w:pPr>
        <w:pStyle w:val="Heading1"/>
        <w:keepNext/>
      </w:pPr>
      <w:r>
        <w:t>A. Agent and Version</w:t>
      </w:r>
    </w:p>
    <w:tbl>
      <w:tblPr>
        <w:tblStyle w:val="TableGrid"/>
        <w:tblW w:w="0" w:type="auto"/>
        <w:jc w:val="center"/>
        <w:tblLook w:val="04A0" w:firstRow="1" w:lastRow="0" w:firstColumn="1" w:lastColumn="0" w:noHBand="0" w:noVBand="1"/>
      </w:tblPr>
      <w:tblGrid>
        <w:gridCol w:w="5219"/>
        <w:gridCol w:w="5225"/>
      </w:tblGrid>
      <w:tr w:rsidR="00AC34B0" w14:paraId="75AC358C" w14:textId="77777777">
        <w:trPr>
          <w:jc w:val="center"/>
          <w:cantSplit/>
        </w:trPr>
        <w:tc>
          <w:tcPr>
            <w:tcW w:w="5227" w:type="dxa"/>
            <w:shd w:val="clear" w:color="auto" w:fill="57068C"/>
            <w:tcMar>
              <w:top w:w="70" w:type="dxa"/>
              <w:left w:w="90" w:type="dxa"/>
              <w:bottom w:w="70" w:type="dxa"/>
              <w:right w:w="90" w:type="dxa"/>
            </w:tcMar>
          </w:tcPr>
          <w:p w14:paraId="652B74B4"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4F291234" w14:textId="77777777" w:rsidR="00AC34B0" w:rsidRDefault="00000000">
            <w:pPr>
              <w:spacing w:after="20"/>
              <w:rPr>
                <w:rFonts w:hint="eastAsia"/>
              </w:rPr>
              <w:keepNext/>
            </w:pPr>
            <w:r>
              <w:rPr>
                <w:b/>
                <w:color w:val="FFFFFF"/>
                <w:sz w:val="17"/>
              </w:rPr>
              <w:t>Student record</w:t>
            </w:r>
          </w:p>
        </w:tc>
      </w:tr>
      <w:tr w:rsidR="00AC34B0" w14:paraId="1B509F94" w14:textId="77777777">
        <w:trPr>
          <w:jc w:val="center"/>
          <w:cantSplit/>
        </w:trPr>
        <w:tc>
          <w:tcPr>
            <w:tcW w:w="5227" w:type="dxa"/>
            <w:tcMar>
              <w:top w:w="70" w:type="dxa"/>
              <w:left w:w="90" w:type="dxa"/>
              <w:bottom w:w="70" w:type="dxa"/>
              <w:right w:w="90" w:type="dxa"/>
            </w:tcMar>
          </w:tcPr>
          <w:p w14:paraId="6A8F21D6" w14:textId="77777777" w:rsidR="00AC34B0" w:rsidRDefault="00000000">
            <w:pPr>
              <w:spacing w:after="20"/>
              <w:rPr>
                <w:rFonts w:hint="eastAsia"/>
              </w:rPr>
            </w:pPr>
            <w:r>
              <w:rPr>
                <w:sz w:val="17"/>
              </w:rPr>
              <w:t>Student / team</w:t>
            </w:r>
          </w:p>
        </w:tc>
        <w:tc>
          <w:tcPr>
            <w:tcW w:w="5227" w:type="dxa"/>
            <w:tcMar>
              <w:top w:w="70" w:type="dxa"/>
              <w:left w:w="90" w:type="dxa"/>
              <w:bottom w:w="70" w:type="dxa"/>
              <w:right w:w="90" w:type="dxa"/>
            </w:tcMar>
          </w:tcPr>
          <w:p>
            <w:pPr>
              <w:spacing w:after="20"/>
              <w:rPr>
                <w:rFonts w:hint="eastAsia"/>
              </w:rPr>
            </w:pPr>
            <w:r>
              <w:t>Matthew Pecko</w:t>
            </w:r>
          </w:p>
        </w:tc>
      </w:tr>
      <w:tr w:rsidR="00AC34B0" w14:paraId="21C3AE15" w14:textId="77777777">
        <w:trPr>
          <w:jc w:val="center"/>
          <w:cantSplit/>
        </w:trPr>
        <w:tc>
          <w:tcPr>
            <w:tcW w:w="5227" w:type="dxa"/>
            <w:tcMar>
              <w:top w:w="70" w:type="dxa"/>
              <w:left w:w="90" w:type="dxa"/>
              <w:bottom w:w="70" w:type="dxa"/>
              <w:right w:w="90" w:type="dxa"/>
            </w:tcMar>
          </w:tcPr>
          <w:p w14:paraId="7F06AAD5" w14:textId="77777777" w:rsidR="00AC34B0" w:rsidRDefault="00000000">
            <w:pPr>
              <w:spacing w:after="20"/>
              <w:rPr>
                <w:rFonts w:hint="eastAsia"/>
              </w:rPr>
            </w:pPr>
            <w:r>
              <w:rPr>
                <w:sz w:val="17"/>
              </w:rPr>
              <w:t>Assignment / specialist agent</w:t>
            </w:r>
          </w:p>
        </w:tc>
        <w:tc>
          <w:tcPr>
            <w:tcW w:w="5227" w:type="dxa"/>
            <w:tcMar>
              <w:top w:w="70" w:type="dxa"/>
              <w:left w:w="90" w:type="dxa"/>
              <w:bottom w:w="70" w:type="dxa"/>
              <w:right w:w="90" w:type="dxa"/>
            </w:tcMar>
          </w:tcPr>
          <w:p>
            <w:pPr>
              <w:spacing w:after="20"/>
              <w:rPr>
                <w:rFonts w:hint="eastAsia"/>
              </w:rPr>
            </w:pPr>
            <w:r>
              <w:t>Assignment 6: Emerging Technology Adoption Agent (v0.2.0)</w:t>
            </w:r>
          </w:p>
        </w:tc>
      </w:tr>
      <w:tr w:rsidR="00AC34B0" w14:paraId="21032AA7" w14:textId="77777777">
        <w:trPr>
          <w:jc w:val="center"/>
          <w:cantSplit/>
        </w:trPr>
        <w:tc>
          <w:tcPr>
            <w:tcW w:w="5227" w:type="dxa"/>
            <w:tcMar>
              <w:top w:w="70" w:type="dxa"/>
              <w:left w:w="90" w:type="dxa"/>
              <w:bottom w:w="70" w:type="dxa"/>
              <w:right w:w="90" w:type="dxa"/>
            </w:tcMar>
          </w:tcPr>
          <w:p w14:paraId="6AFA3265" w14:textId="77777777" w:rsidR="00AC34B0" w:rsidRDefault="00000000">
            <w:pPr>
              <w:spacing w:after="20"/>
              <w:rPr>
                <w:rFonts w:hint="eastAsia"/>
              </w:rPr>
            </w:pPr>
            <w:r>
              <w:rPr>
                <w:sz w:val="17"/>
              </w:rPr>
              <w:t>Date</w:t>
            </w:r>
          </w:p>
        </w:tc>
        <w:tc>
          <w:tcPr>
            <w:tcW w:w="5227" w:type="dxa"/>
            <w:tcMar>
              <w:top w:w="70" w:type="dxa"/>
              <w:left w:w="90" w:type="dxa"/>
              <w:bottom w:w="70" w:type="dxa"/>
              <w:right w:w="90" w:type="dxa"/>
            </w:tcMar>
          </w:tcPr>
          <w:p>
            <w:pPr>
              <w:spacing w:after="20"/>
              <w:rPr>
                <w:rFonts w:hint="eastAsia"/>
              </w:rPr>
            </w:pPr>
            <w:r>
              <w:t>10/14/2026</w:t>
            </w:r>
          </w:p>
        </w:tc>
      </w:tr>
      <w:tr w:rsidR="00AC34B0" w14:paraId="60BF2E23" w14:textId="77777777">
        <w:trPr>
          <w:jc w:val="center"/>
          <w:cantSplit/>
        </w:trPr>
        <w:tc>
          <w:tcPr>
            <w:tcW w:w="5227" w:type="dxa"/>
            <w:tcMar>
              <w:top w:w="70" w:type="dxa"/>
              <w:left w:w="90" w:type="dxa"/>
              <w:bottom w:w="70" w:type="dxa"/>
              <w:right w:w="90" w:type="dxa"/>
            </w:tcMar>
          </w:tcPr>
          <w:p w14:paraId="11880E81" w14:textId="77777777" w:rsidR="00AC34B0" w:rsidRDefault="00000000">
            <w:pPr>
              <w:spacing w:after="20"/>
              <w:rPr>
                <w:rFonts w:hint="eastAsia"/>
              </w:rPr>
            </w:pPr>
            <w:r>
              <w:rPr>
                <w:sz w:val="17"/>
              </w:rPr>
              <w:t>GitHub repository</w:t>
            </w:r>
          </w:p>
        </w:tc>
        <w:tc>
          <w:tcPr>
            <w:tcW w:w="5227" w:type="dxa"/>
            <w:tcMar>
              <w:top w:w="70" w:type="dxa"/>
              <w:left w:w="90" w:type="dxa"/>
              <w:bottom w:w="70" w:type="dxa"/>
              <w:right w:w="90" w:type="dxa"/>
            </w:tcMar>
          </w:tcPr>
          <w:p>
            <w:pPr>
              <w:spacing w:after="20"/>
              <w:rPr>
                <w:rFonts w:hint="eastAsia"/>
              </w:rPr>
            </w:pPr>
            <w:r>
              <w:t>https://github.com/Matthew1172/assignment-6-technology-adoption-agent</w:t>
            </w:r>
          </w:p>
        </w:tc>
      </w:tr>
      <w:tr w:rsidR="00AC34B0" w14:paraId="056F9757" w14:textId="77777777">
        <w:trPr>
          <w:jc w:val="center"/>
          <w:cantSplit/>
        </w:trPr>
        <w:tc>
          <w:tcPr>
            <w:tcW w:w="5227" w:type="dxa"/>
            <w:tcMar>
              <w:top w:w="70" w:type="dxa"/>
              <w:left w:w="90" w:type="dxa"/>
              <w:bottom w:w="70" w:type="dxa"/>
              <w:right w:w="90" w:type="dxa"/>
            </w:tcMar>
          </w:tcPr>
          <w:p w14:paraId="2159D201" w14:textId="77777777" w:rsidR="00AC34B0" w:rsidRDefault="00000000">
            <w:pPr>
              <w:spacing w:after="20"/>
              <w:rPr>
                <w:rFonts w:hint="eastAsia"/>
              </w:rPr>
            </w:pPr>
            <w:r>
              <w:rPr>
                <w:sz w:val="17"/>
              </w:rPr>
              <w:t>Branch</w:t>
            </w:r>
          </w:p>
        </w:tc>
        <w:tc>
          <w:tcPr>
            <w:tcW w:w="5227" w:type="dxa"/>
            <w:tcMar>
              <w:top w:w="70" w:type="dxa"/>
              <w:left w:w="90" w:type="dxa"/>
              <w:bottom w:w="70" w:type="dxa"/>
              <w:right w:w="90" w:type="dxa"/>
            </w:tcMar>
          </w:tcPr>
          <w:p>
            <w:pPr>
              <w:spacing w:after="20"/>
              <w:rPr>
                <w:rFonts w:hint="eastAsia"/>
              </w:rPr>
            </w:pPr>
            <w:r>
              <w:t>main</w:t>
            </w:r>
          </w:p>
        </w:tc>
      </w:tr>
      <w:tr w:rsidR="00AC34B0" w14:paraId="26147C2A" w14:textId="77777777">
        <w:trPr>
          <w:jc w:val="center"/>
          <w:cantSplit/>
        </w:trPr>
        <w:tc>
          <w:tcPr>
            <w:tcW w:w="5227" w:type="dxa"/>
            <w:tcMar>
              <w:top w:w="70" w:type="dxa"/>
              <w:left w:w="90" w:type="dxa"/>
              <w:bottom w:w="70" w:type="dxa"/>
              <w:right w:w="90" w:type="dxa"/>
            </w:tcMar>
          </w:tcPr>
          <w:p w14:paraId="250D9DB4" w14:textId="77777777" w:rsidR="00AC34B0" w:rsidRDefault="00000000">
            <w:pPr>
              <w:spacing w:after="20"/>
              <w:rPr>
                <w:rFonts w:hint="eastAsia"/>
              </w:rPr>
            </w:pPr>
            <w:r>
              <w:rPr>
                <w:sz w:val="17"/>
              </w:rPr>
              <w:t>Commit</w:t>
            </w:r>
          </w:p>
        </w:tc>
        <w:tc>
          <w:tcPr>
            <w:tcW w:w="5227" w:type="dxa"/>
            <w:tcMar>
              <w:top w:w="70" w:type="dxa"/>
              <w:left w:w="90" w:type="dxa"/>
              <w:bottom w:w="70" w:type="dxa"/>
              <w:right w:w="90" w:type="dxa"/>
            </w:tcMar>
          </w:tcPr>
          <w:p>
            <w:pPr>
              <w:spacing w:after="20"/>
              <w:rPr>
                <w:rFonts w:hint="eastAsia"/>
              </w:rPr>
            </w:pPr>
            <w:r>
              <w:t>d81f53aaf38b6716efbed86446c2fa1d28150066</w:t>
            </w:r>
          </w:p>
        </w:tc>
      </w:tr>
      <w:tr w:rsidR="00AC34B0" w14:paraId="0FDCC695" w14:textId="77777777">
        <w:trPr>
          <w:jc w:val="center"/>
          <w:cantSplit/>
        </w:trPr>
        <w:tc>
          <w:tcPr>
            <w:tcW w:w="5227" w:type="dxa"/>
            <w:tcMar>
              <w:top w:w="70" w:type="dxa"/>
              <w:left w:w="90" w:type="dxa"/>
              <w:bottom w:w="70" w:type="dxa"/>
              <w:right w:w="90" w:type="dxa"/>
            </w:tcMar>
          </w:tcPr>
          <w:p w14:paraId="7AEC1B37" w14:textId="77777777" w:rsidR="00AC34B0" w:rsidRDefault="00000000">
            <w:pPr>
              <w:spacing w:after="20"/>
              <w:rPr>
                <w:rFonts w:hint="eastAsia"/>
              </w:rPr>
            </w:pPr>
            <w:r>
              <w:rPr>
                <w:sz w:val="17"/>
              </w:rPr>
              <w:t>Frozen scaffold version</w:t>
            </w:r>
          </w:p>
        </w:tc>
        <w:tc>
          <w:tcPr>
            <w:tcW w:w="5227" w:type="dxa"/>
            <w:tcMar>
              <w:top w:w="70" w:type="dxa"/>
              <w:left w:w="90" w:type="dxa"/>
              <w:bottom w:w="70" w:type="dxa"/>
              <w:right w:w="90" w:type="dxa"/>
            </w:tcMar>
          </w:tcPr>
          <w:p>
            <w:pPr>
              <w:spacing w:after="20"/>
              <w:rPr>
                <w:rFonts w:hint="eastAsia"/>
              </w:rPr>
            </w:pPr>
            <w:r>
              <w:rPr>
                <w:sz w:val="17"/>
              </w:rPr>
              <w:t>MASY1800_ET_Agent_Scaffold_v1_0</w:t>
            </w:r>
          </w:p>
        </w:tc>
      </w:tr>
    </w:tbl>
    <w:p w14:paraId="23BAFDA0" w14:textId="77777777" w:rsidR="00AC34B0" w:rsidRDefault="00000000">
      <w:pPr>
        <w:pStyle w:val="Heading1"/>
        <w:keepNext/>
      </w:pPr>
      <w:r>
        <w:t>B. Specialist Purpose and Context</w:t>
      </w:r>
    </w:p>
    <w:tbl>
      <w:tblPr>
        <w:tblStyle w:val="TableGrid"/>
        <w:tblW w:w="0" w:type="auto"/>
        <w:jc w:val="center"/>
        <w:tblLook w:val="04A0" w:firstRow="1" w:lastRow="0" w:firstColumn="1" w:lastColumn="0" w:noHBand="0" w:noVBand="1"/>
      </w:tblPr>
      <w:tblGrid>
        <w:gridCol w:w="5222"/>
        <w:gridCol w:w="5222"/>
      </w:tblGrid>
      <w:tr w:rsidR="00AC34B0" w14:paraId="2C5BA553" w14:textId="77777777">
        <w:trPr>
          <w:jc w:val="center"/>
          <w:cantSplit/>
        </w:trPr>
        <w:tc>
          <w:tcPr>
            <w:tcW w:w="5227" w:type="dxa"/>
            <w:shd w:val="clear" w:color="auto" w:fill="57068C"/>
            <w:tcMar>
              <w:top w:w="70" w:type="dxa"/>
              <w:left w:w="90" w:type="dxa"/>
              <w:bottom w:w="70" w:type="dxa"/>
              <w:right w:w="90" w:type="dxa"/>
            </w:tcMar>
          </w:tcPr>
          <w:p w14:paraId="57A09F24"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480614E0" w14:textId="77777777" w:rsidR="00AC34B0" w:rsidRDefault="00000000">
            <w:pPr>
              <w:spacing w:after="20"/>
              <w:rPr>
                <w:rFonts w:hint="eastAsia"/>
              </w:rPr>
              <w:keepNext/>
            </w:pPr>
            <w:r>
              <w:rPr>
                <w:b/>
                <w:color w:val="FFFFFF"/>
                <w:sz w:val="17"/>
              </w:rPr>
              <w:t>Student record</w:t>
            </w:r>
          </w:p>
        </w:tc>
      </w:tr>
      <w:tr w:rsidR="00AC34B0" w14:paraId="1FD644E9" w14:textId="77777777">
        <w:trPr>
          <w:jc w:val="center"/>
          <w:cantSplit/>
        </w:trPr>
        <w:tc>
          <w:tcPr>
            <w:tcW w:w="5227" w:type="dxa"/>
            <w:tcMar>
              <w:top w:w="70" w:type="dxa"/>
              <w:left w:w="90" w:type="dxa"/>
              <w:bottom w:w="70" w:type="dxa"/>
              <w:right w:w="90" w:type="dxa"/>
            </w:tcMar>
          </w:tcPr>
          <w:p w14:paraId="52E233B9" w14:textId="77777777" w:rsidR="00AC34B0" w:rsidRDefault="00000000">
            <w:pPr>
              <w:spacing w:after="20"/>
              <w:rPr>
                <w:rFonts w:hint="eastAsia"/>
              </w:rPr>
            </w:pPr>
            <w:r>
              <w:rPr>
                <w:sz w:val="17"/>
              </w:rPr>
              <w:t>Governing analytical question</w:t>
            </w:r>
          </w:p>
        </w:tc>
        <w:tc>
          <w:tcPr>
            <w:tcW w:w="5227" w:type="dxa"/>
            <w:tcMar>
              <w:top w:w="70" w:type="dxa"/>
              <w:left w:w="90" w:type="dxa"/>
              <w:bottom w:w="70" w:type="dxa"/>
              <w:right w:w="90" w:type="dxa"/>
            </w:tcMar>
          </w:tcPr>
          <w:p>
            <w:pPr>
              <w:spacing w:after="20"/>
              <w:rPr>
                <w:rFonts w:hint="eastAsia"/>
              </w:rPr>
            </w:pPr>
            <w:r>
              <w:t>Should this organization adopt, experiment with, monitor, defer, or reject this emerging technology for this application at this time?</w:t>
            </w:r>
          </w:p>
        </w:tc>
      </w:tr>
      <w:tr w:rsidR="00AC34B0" w14:paraId="6403C060" w14:textId="77777777">
        <w:trPr>
          <w:jc w:val="center"/>
          <w:cantSplit/>
        </w:trPr>
        <w:tc>
          <w:tcPr>
            <w:tcW w:w="5227" w:type="dxa"/>
            <w:tcMar>
              <w:top w:w="70" w:type="dxa"/>
              <w:left w:w="90" w:type="dxa"/>
              <w:bottom w:w="70" w:type="dxa"/>
              <w:right w:w="90" w:type="dxa"/>
            </w:tcMar>
          </w:tcPr>
          <w:p w14:paraId="7A1E6EE4" w14:textId="77777777" w:rsidR="00AC34B0" w:rsidRDefault="00000000">
            <w:pPr>
              <w:spacing w:after="20"/>
              <w:rPr>
                <w:rFonts w:hint="eastAsia"/>
              </w:rPr>
            </w:pPr>
            <w:r>
              <w:rPr>
                <w:sz w:val="17"/>
              </w:rPr>
              <w:t>Emerging technology</w:t>
            </w:r>
          </w:p>
        </w:tc>
        <w:tc>
          <w:tcPr>
            <w:tcW w:w="5227" w:type="dxa"/>
            <w:tcMar>
              <w:top w:w="70" w:type="dxa"/>
              <w:left w:w="90" w:type="dxa"/>
              <w:bottom w:w="70" w:type="dxa"/>
              <w:right w:w="90" w:type="dxa"/>
            </w:tcMar>
          </w:tcPr>
          <w:p>
            <w:pPr>
              <w:spacing w:after="20"/>
              <w:rPr>
                <w:rFonts w:hint="eastAsia"/>
              </w:rPr>
            </w:pPr>
            <w:r>
              <w:t>Vehicle-to-grid bidirectional electric-vehicle charging</w:t>
            </w:r>
          </w:p>
        </w:tc>
      </w:tr>
      <w:tr w:rsidR="00AC34B0" w14:paraId="6E122638" w14:textId="77777777">
        <w:trPr>
          <w:jc w:val="center"/>
          <w:cantSplit/>
        </w:trPr>
        <w:tc>
          <w:tcPr>
            <w:tcW w:w="5227" w:type="dxa"/>
            <w:tcMar>
              <w:top w:w="70" w:type="dxa"/>
              <w:left w:w="90" w:type="dxa"/>
              <w:bottom w:w="70" w:type="dxa"/>
              <w:right w:w="90" w:type="dxa"/>
            </w:tcMar>
          </w:tcPr>
          <w:p w14:paraId="7EF81BE1" w14:textId="77777777" w:rsidR="00AC34B0" w:rsidRDefault="00000000">
            <w:pPr>
              <w:spacing w:after="20"/>
              <w:rPr>
                <w:rFonts w:hint="eastAsia"/>
              </w:rPr>
            </w:pPr>
            <w:r>
              <w:rPr>
                <w:sz w:val="17"/>
              </w:rPr>
              <w:t>Intended application</w:t>
            </w:r>
          </w:p>
        </w:tc>
        <w:tc>
          <w:tcPr>
            <w:tcW w:w="5227" w:type="dxa"/>
            <w:tcMar>
              <w:top w:w="70" w:type="dxa"/>
              <w:left w:w="90" w:type="dxa"/>
              <w:bottom w:w="70" w:type="dxa"/>
              <w:right w:w="90" w:type="dxa"/>
            </w:tcMar>
          </w:tcPr>
          <w:p>
            <w:pPr>
              <w:spacing w:after="20"/>
              <w:rPr>
                <w:rFonts w:hint="eastAsia"/>
              </w:rPr>
            </w:pPr>
            <w:r>
              <w:t>Run a limited fleet charging trial that exports power to the grid while reserving charge for daily routes.</w:t>
            </w:r>
          </w:p>
        </w:tc>
      </w:tr>
      <w:tr w:rsidR="00AC34B0" w14:paraId="6EB467A5" w14:textId="77777777">
        <w:trPr>
          <w:jc w:val="center"/>
          <w:cantSplit/>
        </w:trPr>
        <w:tc>
          <w:tcPr>
            <w:tcW w:w="5227" w:type="dxa"/>
            <w:tcMar>
              <w:top w:w="70" w:type="dxa"/>
              <w:left w:w="90" w:type="dxa"/>
              <w:bottom w:w="70" w:type="dxa"/>
              <w:right w:w="90" w:type="dxa"/>
            </w:tcMar>
          </w:tcPr>
          <w:p w14:paraId="49513744" w14:textId="77777777" w:rsidR="00AC34B0" w:rsidRDefault="00000000">
            <w:pPr>
              <w:spacing w:after="20"/>
              <w:rPr>
                <w:rFonts w:hint="eastAsia"/>
              </w:rPr>
            </w:pPr>
            <w:r>
              <w:rPr>
                <w:sz w:val="17"/>
              </w:rPr>
              <w:t>Organization / industry</w:t>
            </w:r>
          </w:p>
        </w:tc>
        <w:tc>
          <w:tcPr>
            <w:tcW w:w="5227" w:type="dxa"/>
            <w:tcMar>
              <w:top w:w="70" w:type="dxa"/>
              <w:left w:w="90" w:type="dxa"/>
              <w:bottom w:w="70" w:type="dxa"/>
              <w:right w:w="90" w:type="dxa"/>
            </w:tcMar>
          </w:tcPr>
          <w:p>
            <w:pPr>
              <w:spacing w:after="20"/>
              <w:rPr>
                <w:rFonts w:hint="eastAsia"/>
              </w:rPr>
            </w:pPr>
            <w:r>
              <w:t>A hypothetical regional delivery fleet. Automotive fleet operations.</w:t>
            </w:r>
          </w:p>
        </w:tc>
      </w:tr>
      <w:tr w:rsidR="00AC34B0" w14:paraId="243D9655" w14:textId="77777777">
        <w:trPr>
          <w:jc w:val="center"/>
          <w:cantSplit/>
        </w:trPr>
        <w:tc>
          <w:tcPr>
            <w:tcW w:w="5227" w:type="dxa"/>
            <w:tcMar>
              <w:top w:w="70" w:type="dxa"/>
              <w:left w:w="90" w:type="dxa"/>
              <w:bottom w:w="70" w:type="dxa"/>
              <w:right w:w="90" w:type="dxa"/>
            </w:tcMar>
          </w:tcPr>
          <w:p w14:paraId="19F928E5" w14:textId="77777777" w:rsidR="00AC34B0" w:rsidRDefault="00000000">
            <w:pPr>
              <w:spacing w:after="20"/>
              <w:rPr>
                <w:rFonts w:hint="eastAsia"/>
              </w:rPr>
            </w:pPr>
            <w:r>
              <w:rPr>
                <w:sz w:val="17"/>
              </w:rPr>
              <w:t>Adoption posture</w:t>
            </w:r>
          </w:p>
        </w:tc>
        <w:tc>
          <w:tcPr>
            <w:tcW w:w="5227" w:type="dxa"/>
            <w:tcMar>
              <w:top w:w="70" w:type="dxa"/>
              <w:left w:w="90" w:type="dxa"/>
              <w:bottom w:w="70" w:type="dxa"/>
              <w:right w:w="90" w:type="dxa"/>
            </w:tcMar>
          </w:tcPr>
          <w:p>
            <w:pPr>
              <w:spacing w:after="20"/>
              <w:rPr>
                <w:rFonts w:hint="eastAsia"/>
              </w:rPr>
            </w:pPr>
            <w:r>
              <w:t>Innovator</w:t>
            </w:r>
          </w:p>
        </w:tc>
      </w:tr>
      <w:tr w:rsidR="00AC34B0" w14:paraId="2F0A6CF3" w14:textId="77777777">
        <w:trPr>
          <w:jc w:val="center"/>
          <w:cantSplit/>
        </w:trPr>
        <w:tc>
          <w:tcPr>
            <w:tcW w:w="5227" w:type="dxa"/>
            <w:tcMar>
              <w:top w:w="70" w:type="dxa"/>
              <w:left w:w="90" w:type="dxa"/>
              <w:bottom w:w="70" w:type="dxa"/>
              <w:right w:w="90" w:type="dxa"/>
            </w:tcMar>
          </w:tcPr>
          <w:p w14:paraId="69BCF159" w14:textId="77777777" w:rsidR="00AC34B0" w:rsidRDefault="00000000">
            <w:pPr>
              <w:spacing w:after="20"/>
              <w:rPr>
                <w:rFonts w:hint="eastAsia"/>
              </w:rPr>
            </w:pPr>
            <w:r>
              <w:rPr>
                <w:sz w:val="17"/>
              </w:rPr>
              <w:t>Risk / consequence context</w:t>
            </w:r>
          </w:p>
        </w:tc>
        <w:tc>
          <w:tcPr>
            <w:tcW w:w="5227" w:type="dxa"/>
            <w:tcMar>
              <w:top w:w="70" w:type="dxa"/>
              <w:left w:w="90" w:type="dxa"/>
              <w:bottom w:w="70" w:type="dxa"/>
              <w:right w:w="90" w:type="dxa"/>
            </w:tcMar>
          </w:tcPr>
          <w:p>
            <w:pPr>
              <w:spacing w:after="20"/>
              <w:rPr>
                <w:rFonts w:hint="eastAsia"/>
              </w:rPr>
            </w:pPr>
            <w:r>
              <w:t>Unexpected discharge could prevent a scheduled delivery.</w:t>
            </w:r>
          </w:p>
        </w:tc>
      </w:tr>
      <w:tr w:rsidR="00AC34B0" w14:paraId="6D23E782" w14:textId="77777777">
        <w:trPr>
          <w:jc w:val="center"/>
          <w:cantSplit/>
        </w:trPr>
        <w:tc>
          <w:tcPr>
            <w:tcW w:w="5227" w:type="dxa"/>
            <w:tcMar>
              <w:top w:w="70" w:type="dxa"/>
              <w:left w:w="90" w:type="dxa"/>
              <w:bottom w:w="70" w:type="dxa"/>
              <w:right w:w="90" w:type="dxa"/>
            </w:tcMar>
          </w:tcPr>
          <w:p w14:paraId="3E02837D" w14:textId="77777777" w:rsidR="00AC34B0" w:rsidRDefault="00000000">
            <w:pPr>
              <w:spacing w:after="20"/>
              <w:rPr>
                <w:rFonts w:hint="eastAsia"/>
              </w:rPr>
            </w:pPr>
            <w:r>
              <w:rPr>
                <w:sz w:val="17"/>
              </w:rPr>
              <w:t>Management question / time horizon</w:t>
            </w:r>
          </w:p>
        </w:tc>
        <w:tc>
          <w:tcPr>
            <w:tcW w:w="5227" w:type="dxa"/>
            <w:tcMar>
              <w:top w:w="70" w:type="dxa"/>
              <w:left w:w="90" w:type="dxa"/>
              <w:bottom w:w="70" w:type="dxa"/>
              <w:right w:w="90" w:type="dxa"/>
            </w:tcMar>
          </w:tcPr>
          <w:p>
            <w:pPr>
              <w:spacing w:after="20"/>
              <w:rPr>
                <w:rFonts w:hint="eastAsia"/>
              </w:rPr>
            </w:pPr>
            <w:r>
              <w:t>Should this organization adopt, experiment with, monitor, defer, or reject this emerging technology for this application at this time? Decide on a bounded pilot within 6–12 months.</w:t>
            </w:r>
          </w:p>
        </w:tc>
      </w:tr>
    </w:tbl>
    <w:p w14:paraId="15754551" w14:textId="77777777" w:rsidR="00AC34B0" w:rsidRDefault="00000000">
      <w:pPr>
        <w:pStyle w:val="Heading1"/>
        <w:keepNext/>
      </w:pPr>
      <w:r>
        <w:t>C. Three-Level Finding</w:t>
      </w:r>
    </w:p>
    <w:tbl>
      <w:tblPr>
        <w:tblStyle w:val="TableGrid"/>
        <w:tblW w:w="0" w:type="auto"/>
        <w:jc w:val="center"/>
        <w:tblLook w:val="04A0" w:firstRow="1" w:lastRow="0" w:firstColumn="1" w:lastColumn="0" w:noHBand="0" w:noVBand="1"/>
      </w:tblPr>
      <w:tblGrid>
        <w:gridCol w:w="5222"/>
        <w:gridCol w:w="5222"/>
      </w:tblGrid>
      <w:tr w:rsidR="00AC34B0" w14:paraId="2107CF2E" w14:textId="77777777" w:rsidTr="009F63B8">
        <w:trPr>
          <w:jc w:val="center"/>
          <w:cantSplit/>
        </w:trPr>
        <w:tc>
          <w:tcPr>
            <w:tcW w:w="5222" w:type="dxa"/>
            <w:shd w:val="clear" w:color="auto" w:fill="57068C"/>
            <w:tcMar>
              <w:top w:w="70" w:type="dxa"/>
              <w:left w:w="90" w:type="dxa"/>
              <w:bottom w:w="70" w:type="dxa"/>
              <w:right w:w="90" w:type="dxa"/>
            </w:tcMar>
          </w:tcPr>
          <w:p w14:paraId="4EF0E068" w14:textId="77777777" w:rsidR="00AC34B0" w:rsidRDefault="00000000">
            <w:pPr>
              <w:spacing w:after="20"/>
              <w:rPr>
                <w:rFonts w:hint="eastAsia"/>
              </w:rPr>
              <w:keepNext/>
            </w:pPr>
            <w:r>
              <w:rPr>
                <w:b/>
                <w:color w:val="FFFFFF"/>
                <w:sz w:val="17"/>
              </w:rPr>
              <w:t>Field</w:t>
            </w:r>
          </w:p>
        </w:tc>
        <w:tc>
          <w:tcPr>
            <w:tcW w:w="5222" w:type="dxa"/>
            <w:shd w:val="clear" w:color="auto" w:fill="57068C"/>
            <w:tcMar>
              <w:top w:w="70" w:type="dxa"/>
              <w:left w:w="90" w:type="dxa"/>
              <w:bottom w:w="70" w:type="dxa"/>
              <w:right w:w="90" w:type="dxa"/>
            </w:tcMar>
          </w:tcPr>
          <w:p w14:paraId="09DDE787" w14:textId="77777777" w:rsidR="00AC34B0" w:rsidRDefault="00000000">
            <w:pPr>
              <w:spacing w:after="20"/>
              <w:rPr>
                <w:rFonts w:hint="eastAsia"/>
              </w:rPr>
              <w:keepNext/>
            </w:pPr>
            <w:r>
              <w:rPr>
                <w:b/>
                <w:color w:val="FFFFFF"/>
                <w:sz w:val="17"/>
              </w:rPr>
              <w:t>Student record</w:t>
            </w:r>
          </w:p>
        </w:tc>
      </w:tr>
      <w:tr w:rsidR="009F63B8" w14:paraId="5AC02737" w14:textId="77777777" w:rsidTr="009F63B8">
        <w:trPr>
          <w:jc w:val="center"/>
          <w:cantSplit/>
        </w:trPr>
        <w:tc>
          <w:tcPr>
            <w:tcW w:w="5222" w:type="dxa"/>
            <w:tcMar>
              <w:top w:w="70" w:type="dxa"/>
              <w:left w:w="90" w:type="dxa"/>
              <w:bottom w:w="70" w:type="dxa"/>
              <w:right w:w="90" w:type="dxa"/>
            </w:tcMar>
          </w:tcPr>
          <w:p w14:paraId="43A3E6D6" w14:textId="77777777" w:rsidR="009F63B8" w:rsidRDefault="009F63B8" w:rsidP="009F63B8">
            <w:pPr>
              <w:spacing w:after="20"/>
              <w:rPr>
                <w:rFonts w:hint="eastAsia"/>
              </w:rPr>
            </w:pPr>
            <w:r>
              <w:rPr>
                <w:sz w:val="17"/>
              </w:rPr>
              <w:lastRenderedPageBreak/>
              <w:t>ET generally</w:t>
            </w:r>
          </w:p>
        </w:tc>
        <w:tc>
          <w:tcPr>
            <w:tcW w:w="5222" w:type="dxa"/>
            <w:tcMar>
              <w:top w:w="70" w:type="dxa"/>
              <w:left w:w="90" w:type="dxa"/>
              <w:bottom w:w="70" w:type="dxa"/>
              <w:right w:w="90" w:type="dxa"/>
            </w:tcMar>
          </w:tcPr>
          <w:p>
            <w:pPr>
              <w:spacing w:after="20"/>
              <w:rPr>
                <w:rFonts w:hint="eastAsia"/>
              </w:rPr>
            </w:pPr>
            <w:r>
              <w:t>Vehicle-to-grid charging can export electricity through compatible equipment where permitted. That capability does not establish local permission, warranty coverage, or commercial viability.</w:t>
            </w:r>
          </w:p>
        </w:tc>
      </w:tr>
      <w:tr w:rsidR="009F63B8" w14:paraId="6EAF3937" w14:textId="77777777" w:rsidTr="009F63B8">
        <w:trPr>
          <w:jc w:val="center"/>
          <w:cantSplit/>
        </w:trPr>
        <w:tc>
          <w:tcPr>
            <w:tcW w:w="5222" w:type="dxa"/>
            <w:tcMar>
              <w:top w:w="70" w:type="dxa"/>
              <w:left w:w="90" w:type="dxa"/>
              <w:bottom w:w="70" w:type="dxa"/>
              <w:right w:w="90" w:type="dxa"/>
            </w:tcMar>
          </w:tcPr>
          <w:p w14:paraId="18AD4E5D" w14:textId="77777777" w:rsidR="009F63B8" w:rsidRDefault="009F63B8" w:rsidP="009F63B8">
            <w:pPr>
              <w:spacing w:after="20"/>
              <w:rPr>
                <w:rFonts w:hint="eastAsia"/>
              </w:rPr>
            </w:pPr>
            <w:r>
              <w:rPr>
                <w:sz w:val="17"/>
              </w:rPr>
              <w:t>ET for this application</w:t>
            </w:r>
          </w:p>
        </w:tc>
        <w:tc>
          <w:tcPr>
            <w:tcW w:w="5222" w:type="dxa"/>
            <w:tcMar>
              <w:top w:w="70" w:type="dxa"/>
              <w:left w:w="90" w:type="dxa"/>
              <w:bottom w:w="70" w:type="dxa"/>
              <w:right w:w="90" w:type="dxa"/>
            </w:tcMar>
          </w:tcPr>
          <w:p>
            <w:pPr>
              <w:spacing w:after="20"/>
              <w:rPr>
                <w:rFonts w:hint="eastAsia"/>
              </w:rPr>
            </w:pPr>
            <w:r>
              <w:t>A fleet trial must preserve energy for scheduled deliveries. A non-export proof of concept can test reserve controls without demonstrating export performance or profit.</w:t>
            </w:r>
          </w:p>
        </w:tc>
      </w:tr>
      <w:tr w:rsidR="009F63B8" w14:paraId="2FFA6F2A" w14:textId="77777777" w:rsidTr="009F63B8">
        <w:trPr>
          <w:jc w:val="center"/>
          <w:cantSplit/>
        </w:trPr>
        <w:tc>
          <w:tcPr>
            <w:tcW w:w="5222" w:type="dxa"/>
            <w:tcMar>
              <w:top w:w="70" w:type="dxa"/>
              <w:left w:w="90" w:type="dxa"/>
              <w:bottom w:w="70" w:type="dxa"/>
              <w:right w:w="90" w:type="dxa"/>
            </w:tcMar>
          </w:tcPr>
          <w:p w14:paraId="5332D55C" w14:textId="77777777" w:rsidR="009F63B8" w:rsidRDefault="009F63B8" w:rsidP="009F63B8">
            <w:pPr>
              <w:spacing w:after="20"/>
              <w:rPr>
                <w:rFonts w:hint="eastAsia"/>
              </w:rPr>
            </w:pPr>
            <w:r>
              <w:rPr>
                <w:sz w:val="17"/>
              </w:rPr>
              <w:t>ET for this application in this organization</w:t>
            </w:r>
          </w:p>
        </w:tc>
        <w:tc>
          <w:tcPr>
            <w:tcW w:w="5222" w:type="dxa"/>
            <w:tcMar>
              <w:top w:w="70" w:type="dxa"/>
              <w:left w:w="90" w:type="dxa"/>
              <w:bottom w:w="70" w:type="dxa"/>
              <w:right w:w="90" w:type="dxa"/>
            </w:tcMar>
          </w:tcPr>
          <w:p>
            <w:pPr>
              <w:spacing w:after="20"/>
              <w:rPr>
                <w:rFonts w:hint="eastAsia"/>
              </w:rPr>
            </w:pPr>
            <w:r>
              <w:t>The hypothetical fleet has pilot permission and compatible hardware, but warranty and commercial terms remain unverified. Innovator posture does not imply acceptance of that exposure.</w:t>
            </w:r>
          </w:p>
        </w:tc>
      </w:tr>
      <w:tr w:rsidR="009F63B8" w14:paraId="7EB46E1E" w14:textId="77777777" w:rsidTr="009F63B8">
        <w:trPr>
          <w:jc w:val="center"/>
          <w:cantSplit/>
        </w:trPr>
        <w:tc>
          <w:tcPr>
            <w:tcW w:w="5222" w:type="dxa"/>
            <w:tcMar>
              <w:top w:w="70" w:type="dxa"/>
              <w:left w:w="90" w:type="dxa"/>
              <w:bottom w:w="70" w:type="dxa"/>
              <w:right w:w="90" w:type="dxa"/>
            </w:tcMar>
          </w:tcPr>
          <w:p w14:paraId="35876CB5" w14:textId="77777777" w:rsidR="009F63B8" w:rsidRDefault="009F63B8" w:rsidP="009F63B8">
            <w:pPr>
              <w:spacing w:after="20"/>
              <w:rPr>
                <w:rFonts w:hint="eastAsia"/>
              </w:rPr>
            </w:pPr>
            <w:r>
              <w:rPr>
                <w:sz w:val="17"/>
              </w:rPr>
              <w:t>Bounded management implication</w:t>
            </w:r>
          </w:p>
        </w:tc>
        <w:tc>
          <w:tcPr>
            <w:tcW w:w="5222" w:type="dxa"/>
            <w:tcMar>
              <w:top w:w="70" w:type="dxa"/>
              <w:left w:w="90" w:type="dxa"/>
              <w:bottom w:w="70" w:type="dxa"/>
              <w:right w:w="90" w:type="dxa"/>
            </w:tcMar>
          </w:tcPr>
          <w:p>
            <w:pPr>
              <w:spacing w:after="20"/>
              <w:rPr>
                <w:rFonts w:hint="eastAsia"/>
              </w:rPr>
            </w:pPr>
            <w:r>
              <w:rPr>
                <w:rFonts w:hint="eastAsia"/>
              </w:rPr>
              <w:t>Defer operational export. Clarify the terms and test reserve controls without exporting; assess operating ownership separately before an operational trial.</w:t>
            </w:r>
          </w:p>
        </w:tc>
      </w:tr>
      <w:tr w:rsidR="009F63B8" w14:paraId="653EC671" w14:textId="77777777" w:rsidTr="009F63B8">
        <w:trPr>
          <w:jc w:val="center"/>
          <w:cantSplit/>
        </w:trPr>
        <w:tc>
          <w:tcPr>
            <w:tcW w:w="5222" w:type="dxa"/>
            <w:tcMar>
              <w:top w:w="70" w:type="dxa"/>
              <w:left w:w="90" w:type="dxa"/>
              <w:bottom w:w="70" w:type="dxa"/>
              <w:right w:w="90" w:type="dxa"/>
            </w:tcMar>
          </w:tcPr>
          <w:p w14:paraId="6AF17D44" w14:textId="77777777" w:rsidR="009F63B8" w:rsidRDefault="009F63B8" w:rsidP="009F63B8">
            <w:pPr>
              <w:spacing w:after="20"/>
              <w:rPr>
                <w:rFonts w:hint="eastAsia"/>
              </w:rPr>
            </w:pPr>
            <w:r>
              <w:rPr>
                <w:sz w:val="17"/>
              </w:rPr>
              <w:t>Confidence / uncertainty</w:t>
            </w:r>
          </w:p>
        </w:tc>
        <w:tc>
          <w:tcPr>
            <w:tcW w:w="5222" w:type="dxa"/>
            <w:tcMar>
              <w:top w:w="70" w:type="dxa"/>
              <w:left w:w="90" w:type="dxa"/>
              <w:bottom w:w="70" w:type="dxa"/>
              <w:right w:w="90" w:type="dxa"/>
            </w:tcMar>
          </w:tcPr>
          <w:p>
            <w:pPr>
              <w:spacing w:after="20"/>
              <w:rPr>
                <w:rFonts w:hint="eastAsia"/>
              </w:rPr>
            </w:pPr>
            <w:r>
              <w:t>High confidence in deferral under the stated missing terms. Low confidence in eventual profit or delivery reliability because there is no fleet-specific operating evidence.</w:t>
            </w:r>
          </w:p>
        </w:tc>
      </w:tr>
      <w:tr w:rsidR="009F63B8" w14:paraId="39674315" w14:textId="77777777" w:rsidTr="009F63B8">
        <w:trPr>
          <w:jc w:val="center"/>
          <w:cantSplit/>
        </w:trPr>
        <w:tc>
          <w:tcPr>
            <w:tcW w:w="5222" w:type="dxa"/>
            <w:tcMar>
              <w:top w:w="70" w:type="dxa"/>
              <w:left w:w="90" w:type="dxa"/>
              <w:bottom w:w="70" w:type="dxa"/>
              <w:right w:w="90" w:type="dxa"/>
            </w:tcMar>
          </w:tcPr>
          <w:p w14:paraId="344FDB15" w14:textId="77777777" w:rsidR="009F63B8" w:rsidRDefault="009F63B8" w:rsidP="009F63B8">
            <w:pPr>
              <w:spacing w:after="20"/>
              <w:rPr>
                <w:rFonts w:hint="eastAsia"/>
              </w:rPr>
            </w:pPr>
            <w:r>
              <w:rPr>
                <w:sz w:val="17"/>
              </w:rPr>
              <w:t>What evidence or condition would change the conclusion</w:t>
            </w:r>
          </w:p>
        </w:tc>
        <w:tc>
          <w:tcPr>
            <w:tcW w:w="5222" w:type="dxa"/>
            <w:tcMar>
              <w:top w:w="70" w:type="dxa"/>
              <w:left w:w="90" w:type="dxa"/>
              <w:bottom w:w="70" w:type="dxa"/>
              <w:right w:w="90" w:type="dxa"/>
            </w:tcMar>
          </w:tcPr>
          <w:p>
            <w:pPr>
              <w:spacing w:after="20"/>
              <w:rPr>
                <w:rFonts w:hint="eastAsia"/>
              </w:rPr>
            </w:pPr>
            <w:r>
              <w:t>Documented warranty treatment, accepted trial terms, and demonstrated reserve protection could support a bounded experiment. Failure to preserve route readiness would argue against the application.</w:t>
            </w:r>
          </w:p>
        </w:tc>
      </w:tr>
    </w:tbl>
    <w:p w14:paraId="49853FFD" w14:textId="77777777" w:rsidR="00AC34B0" w:rsidRDefault="00000000">
      <w:pPr>
        <w:pStyle w:val="Heading1"/>
        <w:keepNext/>
      </w:pPr>
      <w:r>
        <w:t>D. Evidence and Testing</w:t>
      </w:r>
    </w:p>
    <w:tbl>
      <w:tblPr>
        <w:tblStyle w:val="TableGrid"/>
        <w:tblW w:w="0" w:type="auto"/>
        <w:jc w:val="center"/>
        <w:tblLook w:val="04A0" w:firstRow="1" w:lastRow="0" w:firstColumn="1" w:lastColumn="0" w:noHBand="0" w:noVBand="1"/>
      </w:tblPr>
      <w:tblGrid>
        <w:gridCol w:w="5219"/>
        <w:gridCol w:w="5225"/>
      </w:tblGrid>
      <w:tr w:rsidR="00AC34B0" w14:paraId="78CFAF1C" w14:textId="77777777">
        <w:trPr>
          <w:jc w:val="center"/>
          <w:cantSplit/>
        </w:trPr>
        <w:tc>
          <w:tcPr>
            <w:tcW w:w="5227" w:type="dxa"/>
            <w:shd w:val="clear" w:color="auto" w:fill="57068C"/>
            <w:tcMar>
              <w:top w:w="70" w:type="dxa"/>
              <w:left w:w="90" w:type="dxa"/>
              <w:bottom w:w="70" w:type="dxa"/>
              <w:right w:w="90" w:type="dxa"/>
            </w:tcMar>
          </w:tcPr>
          <w:p w14:paraId="17F4B211"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215FF1E5" w14:textId="77777777" w:rsidR="00AC34B0" w:rsidRDefault="00000000">
            <w:pPr>
              <w:spacing w:after="20"/>
              <w:rPr>
                <w:rFonts w:hint="eastAsia"/>
              </w:rPr>
              <w:keepNext/>
            </w:pPr>
            <w:r>
              <w:rPr>
                <w:b/>
                <w:color w:val="FFFFFF"/>
                <w:sz w:val="17"/>
              </w:rPr>
              <w:t>Student record</w:t>
            </w:r>
          </w:p>
        </w:tc>
      </w:tr>
      <w:tr w:rsidR="00AC34B0" w14:paraId="0023AB81" w14:textId="77777777">
        <w:trPr>
          <w:jc w:val="center"/>
          <w:cantSplit/>
        </w:trPr>
        <w:tc>
          <w:tcPr>
            <w:tcW w:w="5227" w:type="dxa"/>
            <w:tcMar>
              <w:top w:w="70" w:type="dxa"/>
              <w:left w:w="90" w:type="dxa"/>
              <w:bottom w:w="70" w:type="dxa"/>
              <w:right w:w="90" w:type="dxa"/>
            </w:tcMar>
          </w:tcPr>
          <w:p w14:paraId="527DCBF8" w14:textId="77777777" w:rsidR="00AC34B0" w:rsidRDefault="00000000">
            <w:pPr>
              <w:spacing w:after="20"/>
              <w:rPr>
                <w:rFonts w:hint="eastAsia"/>
              </w:rPr>
            </w:pPr>
            <w:r>
              <w:rPr>
                <w:sz w:val="17"/>
              </w:rPr>
              <w:t>Most important evidence/source(s)</w:t>
            </w:r>
          </w:p>
        </w:tc>
        <w:tc>
          <w:tcPr>
            <w:tcW w:w="5227" w:type="dxa"/>
            <w:tcMar>
              <w:top w:w="70" w:type="dxa"/>
              <w:left w:w="90" w:type="dxa"/>
              <w:bottom w:w="70" w:type="dxa"/>
              <w:right w:w="90" w:type="dxa"/>
            </w:tcMar>
          </w:tcPr>
          <w:p>
            <w:pPr>
              <w:spacing w:after="20"/>
              <w:rPr>
                <w:rFonts w:hint="eastAsia"/>
              </w:rPr>
            </w:pPr>
            <w:r>
              <w:t>U.S. DOE, Managed and Bidirectional Charging, checked October 13, 2026; Vehicles-to-Grid Integration Assessment Report, January 2025, pp. 67–69. The sources distinguish V2G permission and warranty concerns. URLs are in records/sources.md.</w:t>
            </w:r>
          </w:p>
        </w:tc>
      </w:tr>
      <w:tr w:rsidR="00AC34B0" w14:paraId="09C61468" w14:textId="77777777">
        <w:trPr>
          <w:jc w:val="center"/>
          <w:cantSplit/>
        </w:trPr>
        <w:tc>
          <w:tcPr>
            <w:tcW w:w="5227" w:type="dxa"/>
            <w:tcMar>
              <w:top w:w="70" w:type="dxa"/>
              <w:left w:w="90" w:type="dxa"/>
              <w:bottom w:w="70" w:type="dxa"/>
              <w:right w:w="90" w:type="dxa"/>
            </w:tcMar>
          </w:tcPr>
          <w:p w14:paraId="73771235" w14:textId="77777777" w:rsidR="00AC34B0" w:rsidRDefault="00000000">
            <w:pPr>
              <w:spacing w:after="20"/>
              <w:rPr>
                <w:rFonts w:hint="eastAsia"/>
              </w:rPr>
            </w:pPr>
            <w:r>
              <w:rPr>
                <w:sz w:val="17"/>
              </w:rPr>
              <w:t>Primary test - result</w:t>
            </w:r>
          </w:p>
        </w:tc>
        <w:tc>
          <w:tcPr>
            <w:tcW w:w="5227" w:type="dxa"/>
            <w:tcMar>
              <w:top w:w="70" w:type="dxa"/>
              <w:left w:w="90" w:type="dxa"/>
              <w:bottom w:w="70" w:type="dxa"/>
              <w:right w:w="90" w:type="dxa"/>
            </w:tcMar>
          </w:tcPr>
          <w:p>
            <w:pPr>
              <w:spacing w:after="20"/>
              <w:rPr>
                <w:rFonts w:hint="eastAsia"/>
              </w:rPr>
            </w:pPr>
            <w:r>
              <w:t>The saved response passed the output contract. It deferred grid export while allowing terms clarification and a non-export reserve-control test.</w:t>
            </w:r>
          </w:p>
        </w:tc>
      </w:tr>
      <w:tr w:rsidR="00AC34B0" w14:paraId="5047B7DD" w14:textId="77777777">
        <w:trPr>
          <w:jc w:val="center"/>
          <w:cantSplit/>
        </w:trPr>
        <w:tc>
          <w:tcPr>
            <w:tcW w:w="5227" w:type="dxa"/>
            <w:tcMar>
              <w:top w:w="70" w:type="dxa"/>
              <w:left w:w="90" w:type="dxa"/>
              <w:bottom w:w="70" w:type="dxa"/>
              <w:right w:w="90" w:type="dxa"/>
            </w:tcMar>
          </w:tcPr>
          <w:p w14:paraId="0F09864B" w14:textId="77777777" w:rsidR="00AC34B0" w:rsidRDefault="00000000">
            <w:pPr>
              <w:spacing w:after="20"/>
              <w:rPr>
                <w:rFonts w:hint="eastAsia"/>
              </w:rPr>
            </w:pPr>
            <w:r>
              <w:rPr>
                <w:sz w:val="17"/>
              </w:rPr>
              <w:t>Contrast test - what appropriately stayed stable</w:t>
            </w:r>
          </w:p>
        </w:tc>
        <w:tc>
          <w:tcPr>
            <w:tcW w:w="5227" w:type="dxa"/>
            <w:tcMar>
              <w:top w:w="70" w:type="dxa"/>
              <w:left w:w="90" w:type="dxa"/>
              <w:bottom w:w="70" w:type="dxa"/>
              <w:right w:w="90" w:type="dxa"/>
            </w:tcMar>
          </w:tcPr>
          <w:p>
            <w:pPr>
              <w:spacing w:after="20"/>
              <w:rPr>
                <w:rFonts w:hint="eastAsia"/>
              </w:rPr>
            </w:pPr>
            <w:r>
              <w:rPr>
                <w:rFonts w:hint="eastAsia"/>
              </w:rPr>
              <w:t>Technical capability never replaced permission or warranty evidence. The innovator and conservative fleets both deferred export because consequential terms remained unresolved.</w:t>
            </w:r>
          </w:p>
        </w:tc>
      </w:tr>
      <w:tr w:rsidR="00AC34B0" w14:paraId="44A5E4CF" w14:textId="77777777">
        <w:trPr>
          <w:jc w:val="center"/>
          <w:cantSplit/>
        </w:trPr>
        <w:tc>
          <w:tcPr>
            <w:tcW w:w="5227" w:type="dxa"/>
            <w:tcMar>
              <w:top w:w="70" w:type="dxa"/>
              <w:left w:w="90" w:type="dxa"/>
              <w:bottom w:w="70" w:type="dxa"/>
              <w:right w:w="90" w:type="dxa"/>
            </w:tcMar>
          </w:tcPr>
          <w:p w14:paraId="6A656B08" w14:textId="77777777" w:rsidR="00AC34B0" w:rsidRDefault="00000000">
            <w:pPr>
              <w:spacing w:after="20"/>
              <w:rPr>
                <w:rFonts w:hint="eastAsia"/>
              </w:rPr>
            </w:pPr>
            <w:r>
              <w:rPr>
                <w:sz w:val="17"/>
              </w:rPr>
              <w:t>Contrast test - what appropriately changed</w:t>
            </w:r>
          </w:p>
        </w:tc>
        <w:tc>
          <w:tcPr>
            <w:tcW w:w="5227" w:type="dxa"/>
            <w:tcMar>
              <w:top w:w="70" w:type="dxa"/>
              <w:left w:w="90" w:type="dxa"/>
              <w:bottom w:w="70" w:type="dxa"/>
              <w:right w:w="90" w:type="dxa"/>
            </w:tcMar>
          </w:tcPr>
          <w:p>
            <w:pPr>
              <w:spacing w:after="20"/>
              <w:rPr>
                <w:rFonts w:hint="eastAsia"/>
              </w:rPr>
            </w:pPr>
            <w:r>
              <w:rPr>
                <w:rFonts w:hint="eastAsia"/>
              </w:rPr>
              <w:t>The fleet without permission first needed utility and hardware confirmation. A separate supported-trial case received a bounded-experiment recommendation after explicit prerequisites were supplied.</w:t>
            </w:r>
          </w:p>
        </w:tc>
      </w:tr>
      <w:tr w:rsidR="00AC34B0" w14:paraId="326ECFBC" w14:textId="77777777">
        <w:trPr>
          <w:jc w:val="center"/>
          <w:cantSplit/>
        </w:trPr>
        <w:tc>
          <w:tcPr>
            <w:tcW w:w="5227" w:type="dxa"/>
            <w:tcMar>
              <w:top w:w="70" w:type="dxa"/>
              <w:left w:w="90" w:type="dxa"/>
              <w:bottom w:w="70" w:type="dxa"/>
              <w:right w:w="90" w:type="dxa"/>
            </w:tcMar>
          </w:tcPr>
          <w:p w14:paraId="2B47A554" w14:textId="77777777" w:rsidR="00AC34B0" w:rsidRDefault="00000000">
            <w:pPr>
              <w:spacing w:after="20"/>
              <w:rPr>
                <w:rFonts w:hint="eastAsia"/>
              </w:rPr>
            </w:pPr>
            <w:r>
              <w:rPr>
                <w:sz w:val="17"/>
              </w:rPr>
              <w:t>Weakness/failure found</w:t>
            </w:r>
          </w:p>
        </w:tc>
        <w:tc>
          <w:tcPr>
            <w:tcW w:w="5227" w:type="dxa"/>
            <w:tcMar>
              <w:top w:w="70" w:type="dxa"/>
              <w:left w:w="90" w:type="dxa"/>
              <w:bottom w:w="70" w:type="dxa"/>
              <w:right w:w="90" w:type="dxa"/>
            </w:tcMar>
          </w:tcPr>
          <w:p>
            <w:pPr>
              <w:spacing w:after="20"/>
              <w:rPr>
                <w:rFonts w:hint="eastAsia"/>
              </w:rPr>
            </w:pPr>
            <w:r>
              <w:t>The initial innovator response did not clearly label a permitted non-export next step. It also dated one source check October 14 despite the October 13 case date.</w:t>
            </w:r>
          </w:p>
        </w:tc>
      </w:tr>
      <w:tr w:rsidR="00AC34B0" w14:paraId="6C770D2A" w14:textId="77777777">
        <w:trPr>
          <w:jc w:val="center"/>
          <w:cantSplit/>
        </w:trPr>
        <w:tc>
          <w:tcPr>
            <w:tcW w:w="5227" w:type="dxa"/>
            <w:tcMar>
              <w:top w:w="70" w:type="dxa"/>
              <w:left w:w="90" w:type="dxa"/>
              <w:bottom w:w="70" w:type="dxa"/>
              <w:right w:w="90" w:type="dxa"/>
            </w:tcMar>
          </w:tcPr>
          <w:p w14:paraId="602435D6" w14:textId="77777777" w:rsidR="00AC34B0" w:rsidRDefault="00000000">
            <w:pPr>
              <w:spacing w:after="20"/>
              <w:rPr>
                <w:rFonts w:hint="eastAsia"/>
              </w:rPr>
            </w:pPr>
            <w:r>
              <w:rPr>
                <w:sz w:val="17"/>
              </w:rPr>
              <w:t>Revision made and why</w:t>
            </w:r>
          </w:p>
        </w:tc>
        <w:tc>
          <w:tcPr>
            <w:tcW w:w="5227" w:type="dxa"/>
            <w:tcMar>
              <w:top w:w="70" w:type="dxa"/>
              <w:left w:w="90" w:type="dxa"/>
              <w:bottom w:w="70" w:type="dxa"/>
              <w:right w:w="90" w:type="dxa"/>
            </w:tcMar>
          </w:tcPr>
          <w:p>
            <w:pPr>
              <w:spacing w:after="20"/>
              <w:rPr>
                <w:rFonts w:hint="eastAsia"/>
              </w:rPr>
            </w:pPr>
            <w:r>
              <w:t>Distinguished non-export preparation from operational export and fixed the analysis date. Retested unchanged inputs, then added a supported-trial case to test a justified recommendation change.</w:t>
            </w:r>
          </w:p>
        </w:tc>
      </w:tr>
      <w:tr w:rsidR="00AC34B0" w14:paraId="40110E86" w14:textId="77777777">
        <w:trPr>
          <w:jc w:val="center"/>
          <w:cantSplit/>
        </w:trPr>
        <w:tc>
          <w:tcPr>
            <w:tcW w:w="5227" w:type="dxa"/>
            <w:tcMar>
              <w:top w:w="70" w:type="dxa"/>
              <w:left w:w="90" w:type="dxa"/>
              <w:bottom w:w="70" w:type="dxa"/>
              <w:right w:w="90" w:type="dxa"/>
            </w:tcMar>
          </w:tcPr>
          <w:p w14:paraId="2E40E85D" w14:textId="77777777" w:rsidR="00AC34B0" w:rsidRDefault="00000000">
            <w:pPr>
              <w:spacing w:after="20"/>
              <w:rPr>
                <w:rFonts w:hint="eastAsia"/>
              </w:rPr>
            </w:pPr>
            <w:r>
              <w:rPr>
                <w:sz w:val="17"/>
              </w:rPr>
              <w:t>Remaining limitation / abstention condition</w:t>
            </w:r>
          </w:p>
        </w:tc>
        <w:tc>
          <w:tcPr>
            <w:tcW w:w="5227" w:type="dxa"/>
            <w:tcMar>
              <w:top w:w="70" w:type="dxa"/>
              <w:left w:w="90" w:type="dxa"/>
              <w:bottom w:w="70" w:type="dxa"/>
              <w:right w:w="90" w:type="dxa"/>
            </w:tcMar>
          </w:tcPr>
          <w:p>
            <w:pPr>
              <w:spacing w:after="20"/>
              <w:rPr>
                <w:rFonts w:hint="eastAsia"/>
              </w:rPr>
            </w:pPr>
            <w:r>
              <w:t>No actual vehicle, tariff, warranty, or utility agreement was audited. Withhold savings claims and fleet-wide adoption until those facts and operating results are available.</w:t>
            </w:r>
          </w:p>
        </w:tc>
      </w:tr>
    </w:tbl>
    <w:p w14:paraId="696705DD" w14:textId="77777777" w:rsidR="00AC34B0" w:rsidRDefault="00000000">
      <w:pPr>
        <w:pStyle w:val="Heading1"/>
        <w:keepNext/>
      </w:pPr>
      <w:r>
        <w:t>E. Independent Judgment and Handoff</w:t>
      </w:r>
    </w:p>
    <w:tbl>
      <w:tblPr>
        <w:tblStyle w:val="TableGrid"/>
        <w:tblW w:w="0" w:type="auto"/>
        <w:jc w:val="center"/>
        <w:tblLook w:val="04A0" w:firstRow="1" w:lastRow="0" w:firstColumn="1" w:lastColumn="0" w:noHBand="0" w:noVBand="1"/>
      </w:tblPr>
      <w:tblGrid>
        <w:gridCol w:w="5222"/>
        <w:gridCol w:w="5222"/>
      </w:tblGrid>
      <w:tr w:rsidR="00AC34B0" w14:paraId="11B4DDDA" w14:textId="77777777">
        <w:trPr>
          <w:jc w:val="center"/>
          <w:cantSplit/>
        </w:trPr>
        <w:tc>
          <w:tcPr>
            <w:tcW w:w="5227" w:type="dxa"/>
            <w:shd w:val="clear" w:color="auto" w:fill="57068C"/>
            <w:tcMar>
              <w:top w:w="70" w:type="dxa"/>
              <w:left w:w="90" w:type="dxa"/>
              <w:bottom w:w="70" w:type="dxa"/>
              <w:right w:w="90" w:type="dxa"/>
            </w:tcMar>
          </w:tcPr>
          <w:p w14:paraId="3058F1A9"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5F3BBC54" w14:textId="77777777" w:rsidR="00AC34B0" w:rsidRDefault="00000000">
            <w:pPr>
              <w:spacing w:after="20"/>
              <w:rPr>
                <w:rFonts w:hint="eastAsia"/>
              </w:rPr>
              <w:keepNext/>
            </w:pPr>
            <w:r>
              <w:rPr>
                <w:b/>
                <w:color w:val="FFFFFF"/>
                <w:sz w:val="17"/>
              </w:rPr>
              <w:t>Student record</w:t>
            </w:r>
          </w:p>
        </w:tc>
      </w:tr>
      <w:tr w:rsidR="00AC34B0" w14:paraId="271D0C04" w14:textId="77777777">
        <w:trPr>
          <w:jc w:val="center"/>
          <w:cantSplit/>
        </w:trPr>
        <w:tc>
          <w:tcPr>
            <w:tcW w:w="5227" w:type="dxa"/>
            <w:tcMar>
              <w:top w:w="70" w:type="dxa"/>
              <w:left w:w="90" w:type="dxa"/>
              <w:bottom w:w="70" w:type="dxa"/>
              <w:right w:w="90" w:type="dxa"/>
            </w:tcMar>
          </w:tcPr>
          <w:p w14:paraId="62AFA6EC" w14:textId="77777777" w:rsidR="00AC34B0" w:rsidRDefault="00000000">
            <w:pPr>
              <w:spacing w:after="20"/>
              <w:rPr>
                <w:rFonts w:hint="eastAsia"/>
              </w:rPr>
            </w:pPr>
            <w:r>
              <w:rPr>
                <w:sz w:val="17"/>
              </w:rPr>
              <w:t>Is the agent credible enough for team consideration? Why?</w:t>
            </w:r>
          </w:p>
        </w:tc>
        <w:tc>
          <w:tcPr>
            <w:tcW w:w="5227" w:type="dxa"/>
            <w:tcMar>
              <w:top w:w="70" w:type="dxa"/>
              <w:left w:w="90" w:type="dxa"/>
              <w:bottom w:w="70" w:type="dxa"/>
              <w:right w:w="90" w:type="dxa"/>
            </w:tcMar>
          </w:tcPr>
          <w:p>
            <w:pPr>
              <w:spacing w:after="20"/>
              <w:rPr>
                <w:rFonts w:hint="eastAsia"/>
              </w:rPr>
            </w:pPr>
            <w:r>
              <w:t>Yes, as a bounded recommendation specialist. It does not force different answers from different risk appetites, but changes its answer when the stated prerequisites change.</w:t>
            </w:r>
          </w:p>
        </w:tc>
      </w:tr>
      <w:tr w:rsidR="00AC34B0" w14:paraId="0805E22E" w14:textId="77777777">
        <w:trPr>
          <w:jc w:val="center"/>
          <w:cantSplit/>
        </w:trPr>
        <w:tc>
          <w:tcPr>
            <w:tcW w:w="5227" w:type="dxa"/>
            <w:tcMar>
              <w:top w:w="70" w:type="dxa"/>
              <w:left w:w="90" w:type="dxa"/>
              <w:bottom w:w="70" w:type="dxa"/>
              <w:right w:w="90" w:type="dxa"/>
            </w:tcMar>
          </w:tcPr>
          <w:p w14:paraId="2062BFEF" w14:textId="77777777" w:rsidR="00AC34B0" w:rsidRDefault="00000000">
            <w:pPr>
              <w:spacing w:after="20"/>
              <w:rPr>
                <w:rFonts w:hint="eastAsia"/>
              </w:rPr>
            </w:pPr>
            <w:r>
              <w:rPr>
                <w:sz w:val="17"/>
              </w:rPr>
              <w:lastRenderedPageBreak/>
              <w:t>Most important recommendation to the team</w:t>
            </w:r>
          </w:p>
        </w:tc>
        <w:tc>
          <w:tcPr>
            <w:tcW w:w="5227" w:type="dxa"/>
            <w:tcMar>
              <w:top w:w="70" w:type="dxa"/>
              <w:left w:w="90" w:type="dxa"/>
              <w:bottom w:w="70" w:type="dxa"/>
              <w:right w:w="90" w:type="dxa"/>
            </w:tcMar>
          </w:tcPr>
          <w:p>
            <w:pPr>
              <w:spacing w:after="20"/>
              <w:rPr>
                <w:rFonts w:hint="eastAsia"/>
              </w:rPr>
            </w:pPr>
            <w:r>
              <w:t>An aggressive posture cannot supply missing permission or warranty coverage. Keep preparation distinct from authorization to operate.</w:t>
            </w:r>
          </w:p>
        </w:tc>
      </w:tr>
      <w:tr w:rsidR="00AC34B0" w14:paraId="5F275D9E" w14:textId="77777777">
        <w:trPr>
          <w:jc w:val="center"/>
          <w:cantSplit/>
        </w:trPr>
        <w:tc>
          <w:tcPr>
            <w:tcW w:w="5227" w:type="dxa"/>
            <w:tcMar>
              <w:top w:w="70" w:type="dxa"/>
              <w:left w:w="90" w:type="dxa"/>
              <w:bottom w:w="70" w:type="dxa"/>
              <w:right w:w="90" w:type="dxa"/>
            </w:tcMar>
          </w:tcPr>
          <w:p w14:paraId="64C2A67F" w14:textId="77777777" w:rsidR="00AC34B0" w:rsidRDefault="00000000">
            <w:pPr>
              <w:spacing w:after="20"/>
              <w:rPr>
                <w:rFonts w:hint="eastAsia"/>
              </w:rPr>
            </w:pPr>
            <w:r>
              <w:rPr>
                <w:sz w:val="17"/>
              </w:rPr>
              <w:t>AI / verification note</w:t>
            </w:r>
          </w:p>
        </w:tc>
        <w:tc>
          <w:tcPr>
            <w:tcW w:w="5227" w:type="dxa"/>
            <w:tcMar>
              <w:top w:w="70" w:type="dxa"/>
              <w:left w:w="90" w:type="dxa"/>
              <w:bottom w:w="70" w:type="dxa"/>
              <w:right w:w="90" w:type="dxa"/>
            </w:tcMar>
          </w:tcPr>
          <w:p>
            <w:pPr>
              <w:spacing w:after="20"/>
              <w:rPr>
                <w:rFonts w:hint="eastAsia"/>
              </w:rPr>
            </w:pPr>
            <w:r>
              <w:rPr>
                <w:sz w:val="17"/>
              </w:rPr>
              <w:t>Codex prepared the repository, cases, and revisions. The Python helper sent prompts to the OpenAI API and saved actual responses. Original source pages were checked; organization details remain hypothetical. Schema validation checks structure, not factual accuracy.</w:t>
            </w:r>
          </w:p>
        </w:tc>
      </w:tr>
    </w:tbl>
    <w:p w14:paraId="043F56E9" w14:textId="77777777" w:rsidR="000A20E9" w:rsidRDefault="000A20E9"/>
    <w:sectPr w:rsidR="000A20E9" w:rsidSect="00034616">
      <w:headerReference w:type="default" r:id="rId9"/>
      <w:footerReference w:type="default" r:id="rId10"/>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C43EAB" w14:textId="77777777" w:rsidR="000A20E9" w:rsidRDefault="000A20E9">
      <w:pPr>
        <w:spacing w:after="0" w:line="240" w:lineRule="auto"/>
        <w:rPr>
          <w:rFonts w:hint="eastAsia"/>
        </w:rPr>
      </w:pPr>
      <w:r>
        <w:separator/>
      </w:r>
    </w:p>
  </w:endnote>
  <w:endnote w:type="continuationSeparator" w:id="0">
    <w:p w14:paraId="61D8CE9B" w14:textId="77777777" w:rsidR="000A20E9" w:rsidRDefault="000A20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CE709"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287B15" w14:textId="77777777" w:rsidR="000A20E9" w:rsidRDefault="000A20E9">
      <w:pPr>
        <w:spacing w:after="0" w:line="240" w:lineRule="auto"/>
        <w:rPr>
          <w:rFonts w:hint="eastAsia"/>
        </w:rPr>
      </w:pPr>
      <w:r>
        <w:separator/>
      </w:r>
    </w:p>
  </w:footnote>
  <w:footnote w:type="continuationSeparator" w:id="0">
    <w:p w14:paraId="0E1546A2" w14:textId="77777777" w:rsidR="000A20E9" w:rsidRDefault="000A20E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6FACD0"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0E9"/>
    <w:rsid w:val="000C7827"/>
    <w:rsid w:val="0015074B"/>
    <w:rsid w:val="00214B14"/>
    <w:rsid w:val="0029639D"/>
    <w:rsid w:val="00326F90"/>
    <w:rsid w:val="00630F3A"/>
    <w:rsid w:val="006E721C"/>
    <w:rsid w:val="0085745F"/>
    <w:rsid w:val="009F63B8"/>
    <w:rsid w:val="00AA1D8D"/>
    <w:rsid w:val="00AC34B0"/>
    <w:rsid w:val="00B47730"/>
    <w:rsid w:val="00C034F2"/>
    <w:rsid w:val="00CB0664"/>
    <w:rsid w:val="00D24D5A"/>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99B3A"/>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 w:type="character" w:styleId="Hyperlink">
    <w:name w:val="Hyperlink"/>
    <w:basedOn w:val="DefaultParagraphFont"/>
    <w:uiPriority w:val="99"/>
    <w:unhideWhenUsed/>
    <w:rsid w:val="00C034F2"/>
    <w:rPr>
      <w:color w:val="0000FF" w:themeColor="hyperlink"/>
      <w:u w:val="single"/>
    </w:rPr>
  </w:style>
  <w:style w:type="character" w:styleId="UnresolvedMention">
    <w:name w:val="Unresolved Mention"/>
    <w:basedOn w:val="DefaultParagraphFont"/>
    <w:uiPriority w:val="99"/>
    <w:semiHidden/>
    <w:unhideWhenUsed/>
    <w:rsid w:val="00C03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id.com/docs/api/products/transac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Emerging Technologies - Specialist Agent Record Template</vt:lpstr>
    </vt:vector>
  </TitlesOfParts>
  <Manager/>
  <Company/>
  <LinksUpToDate>false</LinksUpToDate>
  <CharactersWithSpaces>4610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Matthew Pecko</cp:lastModifiedBy>
  <cp:revision>2</cp:revision>
  <dcterms:created xsi:type="dcterms:W3CDTF">2026-10-12T21:10:00Z</dcterms:created>
  <dcterms:modified xsi:type="dcterms:W3CDTF">2026-10-12T21:10:00Z</dcterms:modified>
  <cp:category/>
</cp:coreProperties>
</file>